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13.1</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Решение ОК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21/06/2022 - 09:00:05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19</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19</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19</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20</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20</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22</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23</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24</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24</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25</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25</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26</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26</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27</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27</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28</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28</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29</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29</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30</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30</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31</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31</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32</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32</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33</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33</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34</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34</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35</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35</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36</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36</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36</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48</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50</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52</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53</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55</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67</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68</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84</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85</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86</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88</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88</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90</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91</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92</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93</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94</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94</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95</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96</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97</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98</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98</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99</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100</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101</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102</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102</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103</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104</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104</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105</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106</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106</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107</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108</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108</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108</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109</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110</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111</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111</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112</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112</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113</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113</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114</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116</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116</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122</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122</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123</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125</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127</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131</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135</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138</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141</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144</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148</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148</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149</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175</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178</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182</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182</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186</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186</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187</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187</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188</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190</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190</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191</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192</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192</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206</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206</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226</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254</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330</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345</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392</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426</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469</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482</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532</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558</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578</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602</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617</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640</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683</w:t>
        </w:r>
        <w:r>
          <w:fldChar w:fldCharType="end"/>
        </w:r>
      </w:hyperlink>
    </w:p>
    <w:p>
      <w:pPr>
        <w:pStyle w:val="TOC1"/>
        <w:rPr>
          <w:rFonts w:ascii="Calibri" w:hAnsi="Calibri"/>
          <w:noProof/>
          <w:sz w:val="22"/>
        </w:rPr>
      </w:pPr>
      <w:hyperlink w:anchor="_Toc256000134"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_Toc256000134 \h </w:instrText>
        </w:r>
        <w:r>
          <w:fldChar w:fldCharType="separate"/>
        </w:r>
        <w:r>
          <w:t>715</w:t>
        </w:r>
        <w:r>
          <w:fldChar w:fldCharType="end"/>
        </w:r>
      </w:hyperlink>
    </w:p>
    <w:p>
      <w:pPr>
        <w:pStyle w:val="TOC2"/>
        <w:rPr>
          <w:rFonts w:ascii="Calibri" w:hAnsi="Calibri"/>
          <w:noProof/>
          <w:sz w:val="22"/>
        </w:rPr>
      </w:pPr>
      <w:hyperlink w:anchor="_Toc256000135" w:history="1">
        <w:r>
          <w:rPr>
            <w:rStyle w:val="Hyperlink"/>
          </w:rPr>
          <w:t>9.1.</w:t>
        </w:r>
        <w:r>
          <w:rPr>
            <w:rStyle w:val="Hyperlink"/>
          </w:rPr>
          <w:t xml:space="preserve"> </w:t>
        </w:r>
        <w:r>
          <w:rPr>
            <w:rStyle w:val="Hyperlink"/>
          </w:rPr>
          <w:t>Цели и задачи</w:t>
        </w:r>
        <w:r>
          <w:tab/>
        </w:r>
        <w:r>
          <w:fldChar w:fldCharType="begin"/>
        </w:r>
        <w:r>
          <w:instrText xml:space="preserve"> PAGEREF _Toc256000135 \h </w:instrText>
        </w:r>
        <w:r>
          <w:fldChar w:fldCharType="separate"/>
        </w:r>
        <w:r>
          <w:t>715</w:t>
        </w:r>
        <w:r>
          <w:fldChar w:fldCharType="end"/>
        </w:r>
      </w:hyperlink>
    </w:p>
    <w:p>
      <w:pPr>
        <w:pStyle w:val="TOC2"/>
        <w:rPr>
          <w:rFonts w:ascii="Calibri" w:hAnsi="Calibri"/>
          <w:noProof/>
          <w:sz w:val="22"/>
        </w:rPr>
      </w:pPr>
      <w:hyperlink w:anchor="_Toc256000136"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_Toc256000136 \h </w:instrText>
        </w:r>
        <w:r>
          <w:fldChar w:fldCharType="separate"/>
        </w:r>
        <w:r>
          <w:t>716</w:t>
        </w:r>
        <w:r>
          <w:fldChar w:fldCharType="end"/>
        </w:r>
      </w:hyperlink>
    </w:p>
    <w:p>
      <w:pPr>
        <w:pStyle w:val="TOC2"/>
        <w:rPr>
          <w:rFonts w:ascii="Calibri" w:hAnsi="Calibri"/>
          <w:noProof/>
          <w:sz w:val="22"/>
        </w:rPr>
      </w:pPr>
      <w:hyperlink w:anchor="_Toc256000137"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_Toc256000137 \h </w:instrText>
        </w:r>
        <w:r>
          <w:fldChar w:fldCharType="separate"/>
        </w:r>
        <w:r>
          <w:t>718</w:t>
        </w:r>
        <w:r>
          <w:fldChar w:fldCharType="end"/>
        </w:r>
      </w:hyperlink>
    </w:p>
    <w:p>
      <w:pPr>
        <w:pStyle w:val="TOC2"/>
        <w:rPr>
          <w:rFonts w:ascii="Calibri" w:hAnsi="Calibri"/>
          <w:noProof/>
          <w:sz w:val="22"/>
        </w:rPr>
      </w:pPr>
      <w:hyperlink w:anchor="_Toc256000138"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_Toc256000138 \h </w:instrText>
        </w:r>
        <w:r>
          <w:fldChar w:fldCharType="separate"/>
        </w:r>
        <w:r>
          <w:t>722</w:t>
        </w:r>
        <w:r>
          <w:fldChar w:fldCharType="end"/>
        </w:r>
      </w:hyperlink>
    </w:p>
    <w:p>
      <w:pPr>
        <w:pStyle w:val="TOC2"/>
        <w:rPr>
          <w:rFonts w:ascii="Calibri" w:hAnsi="Calibri"/>
          <w:noProof/>
          <w:sz w:val="22"/>
        </w:rPr>
      </w:pPr>
      <w:hyperlink w:anchor="_Toc256000139" w:history="1">
        <w:r>
          <w:rPr>
            <w:rStyle w:val="Hyperlink"/>
          </w:rPr>
          <w:t>9.5.</w:t>
        </w:r>
        <w:r>
          <w:rPr>
            <w:rStyle w:val="Hyperlink"/>
          </w:rPr>
          <w:t xml:space="preserve"> </w:t>
        </w:r>
        <w:r>
          <w:rPr>
            <w:rStyle w:val="Hyperlink"/>
          </w:rPr>
          <w:t>График</w:t>
        </w:r>
        <w:r>
          <w:tab/>
        </w:r>
        <w:r>
          <w:fldChar w:fldCharType="begin"/>
        </w:r>
        <w:r>
          <w:instrText xml:space="preserve"> PAGEREF _Toc256000139 \h </w:instrText>
        </w:r>
        <w:r>
          <w:fldChar w:fldCharType="separate"/>
        </w:r>
        <w:r>
          <w:t>724</w:t>
        </w:r>
        <w:r>
          <w:fldChar w:fldCharType="end"/>
        </w:r>
      </w:hyperlink>
    </w:p>
    <w:p>
      <w:pPr>
        <w:pStyle w:val="TOC2"/>
        <w:rPr>
          <w:rFonts w:ascii="Calibri" w:hAnsi="Calibri"/>
          <w:noProof/>
          <w:sz w:val="22"/>
        </w:rPr>
      </w:pPr>
      <w:hyperlink w:anchor="_Toc256000140" w:history="1">
        <w:r>
          <w:rPr>
            <w:rStyle w:val="Hyperlink"/>
          </w:rPr>
          <w:t>9.6.</w:t>
        </w:r>
        <w:r>
          <w:rPr>
            <w:rStyle w:val="Hyperlink"/>
          </w:rPr>
          <w:t xml:space="preserve"> </w:t>
        </w:r>
        <w:r>
          <w:rPr>
            <w:rStyle w:val="Hyperlink"/>
          </w:rPr>
          <w:t>Комуникация</w:t>
        </w:r>
        <w:r>
          <w:tab/>
        </w:r>
        <w:r>
          <w:fldChar w:fldCharType="begin"/>
        </w:r>
        <w:r>
          <w:instrText xml:space="preserve"> PAGEREF _Toc256000140 \h </w:instrText>
        </w:r>
        <w:r>
          <w:fldChar w:fldCharType="separate"/>
        </w:r>
        <w:r>
          <w:t>725</w:t>
        </w:r>
        <w:r>
          <w:fldChar w:fldCharType="end"/>
        </w:r>
      </w:hyperlink>
    </w:p>
    <w:p>
      <w:pPr>
        <w:pStyle w:val="TOC2"/>
        <w:rPr>
          <w:rFonts w:ascii="Calibri" w:hAnsi="Calibri"/>
          <w:noProof/>
          <w:sz w:val="22"/>
        </w:rPr>
      </w:pPr>
      <w:hyperlink w:anchor="_Toc256000141" w:history="1">
        <w:r>
          <w:rPr>
            <w:rStyle w:val="Hyperlink"/>
          </w:rPr>
          <w:t>9.7.</w:t>
        </w:r>
        <w:r>
          <w:rPr>
            <w:rStyle w:val="Hyperlink"/>
          </w:rPr>
          <w:t xml:space="preserve"> </w:t>
        </w:r>
        <w:r>
          <w:rPr>
            <w:rStyle w:val="Hyperlink"/>
          </w:rPr>
          <w:t>Ресурси</w:t>
        </w:r>
        <w:r>
          <w:tab/>
        </w:r>
        <w:r>
          <w:fldChar w:fldCharType="begin"/>
        </w:r>
        <w:r>
          <w:instrText xml:space="preserve"> PAGEREF _Toc256000141 \h </w:instrText>
        </w:r>
        <w:r>
          <w:fldChar w:fldCharType="separate"/>
        </w:r>
        <w:r>
          <w:t>726</w:t>
        </w:r>
        <w:r>
          <w:fldChar w:fldCharType="end"/>
        </w:r>
      </w:hyperlink>
    </w:p>
    <w:p>
      <w:pPr>
        <w:pStyle w:val="TOC1"/>
        <w:rPr>
          <w:rFonts w:ascii="Calibri" w:hAnsi="Calibri"/>
          <w:noProof/>
          <w:sz w:val="22"/>
        </w:rPr>
      </w:pPr>
      <w:hyperlink w:anchor="_Toc256000142"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_Toc256000142 \h </w:instrText>
        </w:r>
        <w:r>
          <w:fldChar w:fldCharType="separate"/>
        </w:r>
        <w:r>
          <w:t>728</w:t>
        </w:r>
        <w:r>
          <w:fldChar w:fldCharType="end"/>
        </w:r>
      </w:hyperlink>
    </w:p>
    <w:p>
      <w:pPr>
        <w:pStyle w:val="TOC2"/>
        <w:rPr>
          <w:rFonts w:ascii="Calibri" w:hAnsi="Calibri"/>
          <w:noProof/>
          <w:sz w:val="22"/>
        </w:rPr>
      </w:pPr>
      <w:hyperlink w:anchor="_Toc256000143"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_Toc256000143 \h </w:instrText>
        </w:r>
        <w:r>
          <w:fldChar w:fldCharType="separate"/>
        </w:r>
        <w:r>
          <w:t>728</w:t>
        </w:r>
        <w:r>
          <w:fldChar w:fldCharType="end"/>
        </w:r>
      </w:hyperlink>
    </w:p>
    <w:p>
      <w:pPr>
        <w:pStyle w:val="TOC2"/>
        <w:rPr>
          <w:rFonts w:ascii="Calibri" w:hAnsi="Calibri"/>
          <w:noProof/>
          <w:sz w:val="22"/>
        </w:rPr>
      </w:pPr>
      <w:hyperlink w:anchor="_Toc256000144"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_Toc256000144 \h </w:instrText>
        </w:r>
        <w:r>
          <w:fldChar w:fldCharType="separate"/>
        </w:r>
        <w:r>
          <w:t>730</w:t>
        </w:r>
        <w:r>
          <w:fldChar w:fldCharType="end"/>
        </w:r>
      </w:hyperlink>
    </w:p>
    <w:p>
      <w:pPr>
        <w:pStyle w:val="TOC2"/>
        <w:rPr>
          <w:rFonts w:ascii="Calibri" w:hAnsi="Calibri"/>
          <w:noProof/>
          <w:sz w:val="22"/>
        </w:rPr>
      </w:pPr>
      <w:hyperlink w:anchor="_Toc256000145"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2022 г.)</w:t>
        </w:r>
        <w:r>
          <w:tab/>
        </w:r>
        <w:r>
          <w:fldChar w:fldCharType="begin"/>
        </w:r>
        <w:r>
          <w:instrText xml:space="preserve"> PAGEREF _Toc256000145 \h </w:instrText>
        </w:r>
        <w:r>
          <w:fldChar w:fldCharType="separate"/>
        </w:r>
        <w:r>
          <w:t>731</w:t>
        </w:r>
        <w:r>
          <w:fldChar w:fldCharType="end"/>
        </w:r>
      </w:hyperlink>
    </w:p>
    <w:p>
      <w:pPr>
        <w:pStyle w:val="TOC3"/>
        <w:rPr>
          <w:rFonts w:ascii="Calibri" w:hAnsi="Calibri"/>
          <w:noProof/>
          <w:sz w:val="22"/>
        </w:rPr>
      </w:pPr>
      <w:hyperlink w:anchor="_Toc256000146"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_Toc256000146 \h </w:instrText>
        </w:r>
        <w:r>
          <w:fldChar w:fldCharType="separate"/>
        </w:r>
        <w:r>
          <w:t>731</w:t>
        </w:r>
        <w:r>
          <w:fldChar w:fldCharType="end"/>
        </w:r>
      </w:hyperlink>
    </w:p>
    <w:p>
      <w:pPr>
        <w:pStyle w:val="TOC3"/>
        <w:rPr>
          <w:rFonts w:ascii="Calibri" w:hAnsi="Calibri"/>
          <w:noProof/>
          <w:sz w:val="22"/>
        </w:rPr>
      </w:pPr>
      <w:hyperlink w:anchor="_Toc256000147"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_Toc256000147 \h </w:instrText>
        </w:r>
        <w:r>
          <w:fldChar w:fldCharType="separate"/>
        </w:r>
        <w:r>
          <w:t>733</w:t>
        </w:r>
        <w:r>
          <w:fldChar w:fldCharType="end"/>
        </w:r>
      </w:hyperlink>
    </w:p>
    <w:p>
      <w:pPr>
        <w:pStyle w:val="TOC3"/>
        <w:rPr>
          <w:rFonts w:ascii="Calibri" w:hAnsi="Calibri"/>
          <w:noProof/>
          <w:sz w:val="22"/>
        </w:rPr>
      </w:pPr>
      <w:hyperlink w:anchor="_Toc256000148"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_Toc256000148 \h </w:instrText>
        </w:r>
        <w:r>
          <w:fldChar w:fldCharType="separate"/>
        </w:r>
        <w:r>
          <w:t>735</w:t>
        </w:r>
        <w:r>
          <w:fldChar w:fldCharType="end"/>
        </w:r>
      </w:hyperlink>
    </w:p>
    <w:p>
      <w:pPr>
        <w:pStyle w:val="TOC3"/>
        <w:rPr>
          <w:rFonts w:ascii="Calibri" w:hAnsi="Calibri"/>
          <w:noProof/>
          <w:sz w:val="22"/>
        </w:rPr>
      </w:pPr>
      <w:hyperlink w:anchor="_Toc256000149"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_Toc256000149 \h </w:instrText>
        </w:r>
        <w:r>
          <w:fldChar w:fldCharType="separate"/>
        </w:r>
        <w:r>
          <w:t>738</w:t>
        </w:r>
        <w:r>
          <w:fldChar w:fldCharType="end"/>
        </w:r>
      </w:hyperlink>
    </w:p>
    <w:p>
      <w:pPr>
        <w:pStyle w:val="TOC3"/>
        <w:rPr>
          <w:rFonts w:ascii="Calibri" w:hAnsi="Calibri"/>
          <w:noProof/>
          <w:sz w:val="22"/>
        </w:rPr>
      </w:pPr>
      <w:hyperlink w:anchor="_Toc256000150"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_Toc256000150 \h </w:instrText>
        </w:r>
        <w:r>
          <w:fldChar w:fldCharType="separate"/>
        </w:r>
        <w:r>
          <w:t>739</w:t>
        </w:r>
        <w:r>
          <w:fldChar w:fldCharType="end"/>
        </w:r>
      </w:hyperlink>
    </w:p>
    <w:p>
      <w:pPr>
        <w:pStyle w:val="TOC3"/>
        <w:rPr>
          <w:rFonts w:ascii="Calibri" w:hAnsi="Calibri"/>
          <w:noProof/>
          <w:sz w:val="22"/>
        </w:rPr>
      </w:pPr>
      <w:hyperlink w:anchor="_Toc256000151"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_Toc256000151 \h </w:instrText>
        </w:r>
        <w:r>
          <w:fldChar w:fldCharType="separate"/>
        </w:r>
        <w:r>
          <w:t>741</w:t>
        </w:r>
        <w:r>
          <w:fldChar w:fldCharType="end"/>
        </w:r>
      </w:hyperlink>
    </w:p>
    <w:p>
      <w:pPr>
        <w:pStyle w:val="TOC3"/>
        <w:rPr>
          <w:rFonts w:ascii="Calibri" w:hAnsi="Calibri"/>
          <w:noProof/>
          <w:sz w:val="22"/>
        </w:rPr>
      </w:pPr>
      <w:hyperlink w:anchor="_Toc256000152"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_Toc256000152 \h </w:instrText>
        </w:r>
        <w:r>
          <w:fldChar w:fldCharType="separate"/>
        </w:r>
        <w:r>
          <w:t>742</w:t>
        </w:r>
        <w:r>
          <w:fldChar w:fldCharType="end"/>
        </w:r>
      </w:hyperlink>
    </w:p>
    <w:p>
      <w:pPr>
        <w:pStyle w:val="TOC3"/>
        <w:rPr>
          <w:rFonts w:ascii="Calibri" w:hAnsi="Calibri"/>
          <w:noProof/>
          <w:sz w:val="22"/>
        </w:rPr>
      </w:pPr>
      <w:hyperlink w:anchor="_Toc256000153"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_Toc256000153 \h </w:instrText>
        </w:r>
        <w:r>
          <w:fldChar w:fldCharType="separate"/>
        </w:r>
        <w:r>
          <w:t>744</w:t>
        </w:r>
        <w:r>
          <w:fldChar w:fldCharType="end"/>
        </w:r>
      </w:hyperlink>
    </w:p>
    <w:p>
      <w:pPr>
        <w:pStyle w:val="TOC3"/>
        <w:rPr>
          <w:rFonts w:ascii="Calibri" w:hAnsi="Calibri"/>
          <w:noProof/>
          <w:sz w:val="22"/>
        </w:rPr>
      </w:pPr>
      <w:hyperlink w:anchor="_Toc256000154"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_Toc256000154 \h </w:instrText>
        </w:r>
        <w:r>
          <w:fldChar w:fldCharType="separate"/>
        </w:r>
        <w:r>
          <w:t>746</w:t>
        </w:r>
        <w:r>
          <w:fldChar w:fldCharType="end"/>
        </w:r>
      </w:hyperlink>
    </w:p>
    <w:p>
      <w:pPr>
        <w:pStyle w:val="TOC3"/>
        <w:rPr>
          <w:rFonts w:ascii="Calibri" w:hAnsi="Calibri"/>
          <w:noProof/>
          <w:sz w:val="22"/>
        </w:rPr>
      </w:pPr>
      <w:hyperlink w:anchor="_Toc256000155"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_Toc256000155 \h </w:instrText>
        </w:r>
        <w:r>
          <w:fldChar w:fldCharType="separate"/>
        </w:r>
        <w:r>
          <w:t>748</w:t>
        </w:r>
        <w:r>
          <w:fldChar w:fldCharType="end"/>
        </w:r>
      </w:hyperlink>
    </w:p>
    <w:p>
      <w:pPr>
        <w:pStyle w:val="TOC3"/>
        <w:rPr>
          <w:rFonts w:ascii="Calibri" w:hAnsi="Calibri"/>
          <w:noProof/>
          <w:sz w:val="22"/>
        </w:rPr>
      </w:pPr>
      <w:hyperlink w:anchor="_Toc256000156"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_Toc256000156 \h </w:instrText>
        </w:r>
        <w:r>
          <w:fldChar w:fldCharType="separate"/>
        </w:r>
        <w:r>
          <w:t>750</w:t>
        </w:r>
        <w:r>
          <w:fldChar w:fldCharType="end"/>
        </w:r>
      </w:hyperlink>
    </w:p>
    <w:p>
      <w:pPr>
        <w:pStyle w:val="TOC3"/>
        <w:rPr>
          <w:rFonts w:ascii="Calibri" w:hAnsi="Calibri"/>
          <w:noProof/>
          <w:sz w:val="22"/>
        </w:rPr>
      </w:pPr>
      <w:hyperlink w:anchor="_Toc256000157"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_Toc256000157 \h </w:instrText>
        </w:r>
        <w:r>
          <w:fldChar w:fldCharType="separate"/>
        </w:r>
        <w:r>
          <w:t>752</w:t>
        </w:r>
        <w:r>
          <w:fldChar w:fldCharType="end"/>
        </w:r>
      </w:hyperlink>
    </w:p>
    <w:p>
      <w:pPr>
        <w:pStyle w:val="TOC3"/>
        <w:rPr>
          <w:rFonts w:ascii="Calibri" w:hAnsi="Calibri"/>
          <w:noProof/>
          <w:sz w:val="22"/>
        </w:rPr>
      </w:pPr>
      <w:hyperlink w:anchor="_Toc256000158"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_Toc256000158 \h </w:instrText>
        </w:r>
        <w:r>
          <w:fldChar w:fldCharType="separate"/>
        </w:r>
        <w:r>
          <w:t>754</w:t>
        </w:r>
        <w:r>
          <w:fldChar w:fldCharType="end"/>
        </w:r>
      </w:hyperlink>
    </w:p>
    <w:p>
      <w:pPr>
        <w:pStyle w:val="TOC3"/>
        <w:rPr>
          <w:rFonts w:ascii="Calibri" w:hAnsi="Calibri"/>
          <w:noProof/>
          <w:sz w:val="22"/>
        </w:rPr>
      </w:pPr>
      <w:hyperlink w:anchor="_Toc256000159"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_Toc256000159 \h </w:instrText>
        </w:r>
        <w:r>
          <w:fldChar w:fldCharType="separate"/>
        </w:r>
        <w:r>
          <w:t>755</w:t>
        </w:r>
        <w:r>
          <w:fldChar w:fldCharType="end"/>
        </w:r>
      </w:hyperlink>
    </w:p>
    <w:p>
      <w:pPr>
        <w:pStyle w:val="TOC3"/>
        <w:rPr>
          <w:rFonts w:ascii="Calibri" w:hAnsi="Calibri"/>
          <w:noProof/>
          <w:sz w:val="22"/>
        </w:rPr>
      </w:pPr>
      <w:hyperlink w:anchor="_Toc256000160"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_Toc256000160 \h </w:instrText>
        </w:r>
        <w:r>
          <w:fldChar w:fldCharType="separate"/>
        </w:r>
        <w:r>
          <w:t>757</w:t>
        </w:r>
        <w:r>
          <w:fldChar w:fldCharType="end"/>
        </w:r>
      </w:hyperlink>
    </w:p>
    <w:p>
      <w:pPr>
        <w:pStyle w:val="TOC3"/>
        <w:rPr>
          <w:rFonts w:ascii="Calibri" w:hAnsi="Calibri"/>
          <w:noProof/>
          <w:sz w:val="22"/>
        </w:rPr>
      </w:pPr>
      <w:hyperlink w:anchor="_Toc256000161"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_Toc256000161 \h </w:instrText>
        </w:r>
        <w:r>
          <w:fldChar w:fldCharType="separate"/>
        </w:r>
        <w:r>
          <w:t>759</w:t>
        </w:r>
        <w:r>
          <w:fldChar w:fldCharType="end"/>
        </w:r>
      </w:hyperlink>
    </w:p>
    <w:p>
      <w:pPr>
        <w:pStyle w:val="TOC3"/>
        <w:rPr>
          <w:rFonts w:ascii="Calibri" w:hAnsi="Calibri"/>
          <w:noProof/>
          <w:sz w:val="22"/>
        </w:rPr>
      </w:pPr>
      <w:hyperlink w:anchor="_Toc256000162"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_Toc256000162 \h </w:instrText>
        </w:r>
        <w:r>
          <w:fldChar w:fldCharType="separate"/>
        </w:r>
        <w:r>
          <w:t>760</w:t>
        </w:r>
        <w:r>
          <w:fldChar w:fldCharType="end"/>
        </w:r>
      </w:hyperlink>
    </w:p>
    <w:p>
      <w:pPr>
        <w:pStyle w:val="TOC2"/>
        <w:rPr>
          <w:rFonts w:ascii="Calibri" w:hAnsi="Calibri"/>
          <w:noProof/>
          <w:sz w:val="22"/>
        </w:rPr>
      </w:pPr>
      <w:hyperlink w:anchor="_Toc256000163"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_Toc256000163 \h </w:instrText>
        </w:r>
        <w:r>
          <w:fldChar w:fldCharType="separate"/>
        </w:r>
        <w:r>
          <w:t>761</w:t>
        </w:r>
        <w:r>
          <w:fldChar w:fldCharType="end"/>
        </w:r>
      </w:hyperlink>
    </w:p>
    <w:p>
      <w:pPr>
        <w:pStyle w:val="TOC1"/>
        <w:rPr>
          <w:rFonts w:ascii="Calibri" w:hAnsi="Calibri"/>
          <w:noProof/>
          <w:sz w:val="22"/>
        </w:rPr>
      </w:pPr>
      <w:hyperlink w:anchor="_Toc256000164"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_Toc256000164 \h </w:instrText>
        </w:r>
        <w:r>
          <w:fldChar w:fldCharType="separate"/>
        </w:r>
        <w:r>
          <w:t>763</w:t>
        </w:r>
        <w:r>
          <w:fldChar w:fldCharType="end"/>
        </w:r>
      </w:hyperlink>
    </w:p>
    <w:p>
      <w:pPr>
        <w:pStyle w:val="TOC2"/>
        <w:rPr>
          <w:rFonts w:ascii="Calibri" w:hAnsi="Calibri"/>
          <w:noProof/>
          <w:sz w:val="22"/>
        </w:rPr>
      </w:pPr>
      <w:hyperlink w:anchor="_Toc256000165"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_Toc256000165 \h </w:instrText>
        </w:r>
        <w:r>
          <w:fldChar w:fldCharType="separate"/>
        </w:r>
        <w:r>
          <w:t>763</w:t>
        </w:r>
        <w:r>
          <w:fldChar w:fldCharType="end"/>
        </w:r>
      </w:hyperlink>
    </w:p>
    <w:p>
      <w:pPr>
        <w:pStyle w:val="TOC3"/>
        <w:rPr>
          <w:rFonts w:ascii="Calibri" w:hAnsi="Calibri"/>
          <w:noProof/>
          <w:sz w:val="22"/>
        </w:rPr>
      </w:pPr>
      <w:hyperlink w:anchor="_Toc256000166"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_Toc256000166 \h </w:instrText>
        </w:r>
        <w:r>
          <w:fldChar w:fldCharType="separate"/>
        </w:r>
        <w:r>
          <w:t>763</w:t>
        </w:r>
        <w:r>
          <w:fldChar w:fldCharType="end"/>
        </w:r>
      </w:hyperlink>
    </w:p>
    <w:p>
      <w:pPr>
        <w:pStyle w:val="TOC3"/>
        <w:rPr>
          <w:rFonts w:ascii="Calibri" w:hAnsi="Calibri"/>
          <w:noProof/>
          <w:sz w:val="22"/>
        </w:rPr>
      </w:pPr>
      <w:hyperlink w:anchor="_Toc256000167"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_Toc256000167 \h </w:instrText>
        </w:r>
        <w:r>
          <w:fldChar w:fldCharType="separate"/>
        </w:r>
        <w:r>
          <w:t>766</w:t>
        </w:r>
        <w:r>
          <w:fldChar w:fldCharType="end"/>
        </w:r>
      </w:hyperlink>
    </w:p>
    <w:p>
      <w:pPr>
        <w:pStyle w:val="TOC3"/>
        <w:rPr>
          <w:rFonts w:ascii="Calibri" w:hAnsi="Calibri"/>
          <w:noProof/>
          <w:sz w:val="22"/>
        </w:rPr>
      </w:pPr>
      <w:hyperlink w:anchor="_Toc256000168"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_Toc256000168 \h </w:instrText>
        </w:r>
        <w:r>
          <w:fldChar w:fldCharType="separate"/>
        </w:r>
        <w:r>
          <w:t>771</w:t>
        </w:r>
        <w:r>
          <w:fldChar w:fldCharType="end"/>
        </w:r>
      </w:hyperlink>
    </w:p>
    <w:p>
      <w:pPr>
        <w:pStyle w:val="TOC3"/>
        <w:rPr>
          <w:rFonts w:ascii="Calibri" w:hAnsi="Calibri"/>
          <w:noProof/>
          <w:sz w:val="22"/>
        </w:rPr>
      </w:pPr>
      <w:hyperlink w:anchor="_Toc256000169"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_Toc256000169 \h </w:instrText>
        </w:r>
        <w:r>
          <w:fldChar w:fldCharType="separate"/>
        </w:r>
        <w:r>
          <w:t>775</w:t>
        </w:r>
        <w:r>
          <w:fldChar w:fldCharType="end"/>
        </w:r>
      </w:hyperlink>
    </w:p>
    <w:p>
      <w:pPr>
        <w:pStyle w:val="TOC3"/>
        <w:rPr>
          <w:rFonts w:ascii="Calibri" w:hAnsi="Calibri"/>
          <w:noProof/>
          <w:sz w:val="22"/>
        </w:rPr>
      </w:pPr>
      <w:hyperlink w:anchor="_Toc256000170"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_Toc256000170 \h </w:instrText>
        </w:r>
        <w:r>
          <w:fldChar w:fldCharType="separate"/>
        </w:r>
        <w:r>
          <w:t>780</w:t>
        </w:r>
        <w:r>
          <w:fldChar w:fldCharType="end"/>
        </w:r>
      </w:hyperlink>
    </w:p>
    <w:p>
      <w:pPr>
        <w:pStyle w:val="TOC3"/>
        <w:rPr>
          <w:rFonts w:ascii="Calibri" w:hAnsi="Calibri"/>
          <w:noProof/>
          <w:sz w:val="22"/>
        </w:rPr>
      </w:pPr>
      <w:hyperlink w:anchor="_Toc256000171"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_Toc256000171 \h </w:instrText>
        </w:r>
        <w:r>
          <w:fldChar w:fldCharType="separate"/>
        </w:r>
        <w:r>
          <w:t>788</w:t>
        </w:r>
        <w:r>
          <w:fldChar w:fldCharType="end"/>
        </w:r>
      </w:hyperlink>
    </w:p>
    <w:p>
      <w:pPr>
        <w:pStyle w:val="TOC2"/>
        <w:rPr>
          <w:rFonts w:ascii="Calibri" w:hAnsi="Calibri"/>
          <w:noProof/>
          <w:sz w:val="22"/>
        </w:rPr>
      </w:pPr>
      <w:hyperlink w:anchor="_Toc256000172"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_Toc256000172 \h </w:instrText>
        </w:r>
        <w:r>
          <w:fldChar w:fldCharType="separate"/>
        </w:r>
        <w:r>
          <w:t>793</w:t>
        </w:r>
        <w:r>
          <w:fldChar w:fldCharType="end"/>
        </w:r>
      </w:hyperlink>
    </w:p>
    <w:p>
      <w:pPr>
        <w:pStyle w:val="TOC2"/>
        <w:rPr>
          <w:rFonts w:ascii="Calibri" w:hAnsi="Calibri"/>
          <w:noProof/>
          <w:sz w:val="22"/>
        </w:rPr>
      </w:pPr>
      <w:hyperlink w:anchor="_Toc256000173"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_Toc256000173 \h </w:instrText>
        </w:r>
        <w:r>
          <w:fldChar w:fldCharType="separate"/>
        </w:r>
        <w:r>
          <w:t>799</w:t>
        </w:r>
        <w:r>
          <w:fldChar w:fldCharType="end"/>
        </w:r>
      </w:hyperlink>
    </w:p>
    <w:p>
      <w:pPr>
        <w:pStyle w:val="TOC2"/>
        <w:rPr>
          <w:rFonts w:ascii="Calibri" w:hAnsi="Calibri"/>
          <w:noProof/>
          <w:sz w:val="22"/>
        </w:rPr>
      </w:pPr>
      <w:hyperlink w:anchor="_Toc256000174"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_Toc256000174 \h </w:instrText>
        </w:r>
        <w:r>
          <w:fldChar w:fldCharType="separate"/>
        </w:r>
        <w:r>
          <w:t>808</w:t>
        </w:r>
        <w:r>
          <w:fldChar w:fldCharType="end"/>
        </w:r>
      </w:hyperlink>
    </w:p>
    <w:p>
      <w:pPr>
        <w:pStyle w:val="TOC3"/>
        <w:rPr>
          <w:rFonts w:ascii="Calibri" w:hAnsi="Calibri"/>
          <w:noProof/>
          <w:sz w:val="22"/>
        </w:rPr>
      </w:pPr>
      <w:hyperlink w:anchor="_Toc256000175"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_Toc256000175 \h </w:instrText>
        </w:r>
        <w:r>
          <w:fldChar w:fldCharType="separate"/>
        </w:r>
        <w:r>
          <w:t>808</w:t>
        </w:r>
        <w:r>
          <w:fldChar w:fldCharType="end"/>
        </w:r>
      </w:hyperlink>
    </w:p>
    <w:p>
      <w:pPr>
        <w:pStyle w:val="TOC3"/>
        <w:rPr>
          <w:rFonts w:ascii="Calibri" w:hAnsi="Calibri"/>
          <w:noProof/>
          <w:sz w:val="22"/>
        </w:rPr>
      </w:pPr>
      <w:hyperlink w:anchor="_Toc256000176"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_Toc256000176 \h </w:instrText>
        </w:r>
        <w:r>
          <w:fldChar w:fldCharType="separate"/>
        </w:r>
        <w:r>
          <w:t>812</w:t>
        </w:r>
        <w:r>
          <w:fldChar w:fldCharType="end"/>
        </w:r>
      </w:hyperlink>
    </w:p>
    <w:p>
      <w:pPr>
        <w:pStyle w:val="TOC2"/>
        <w:rPr>
          <w:rFonts w:ascii="Calibri" w:hAnsi="Calibri"/>
          <w:noProof/>
          <w:sz w:val="22"/>
        </w:rPr>
      </w:pPr>
      <w:hyperlink w:anchor="_Toc256000177"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_Toc256000177 \h </w:instrText>
        </w:r>
        <w:r>
          <w:fldChar w:fldCharType="separate"/>
        </w:r>
        <w:r>
          <w:t>813</w:t>
        </w:r>
        <w:r>
          <w:fldChar w:fldCharType="end"/>
        </w:r>
      </w:hyperlink>
    </w:p>
    <w:p>
      <w:pPr>
        <w:pStyle w:val="TOC1"/>
        <w:rPr>
          <w:rFonts w:ascii="Calibri" w:hAnsi="Calibri"/>
          <w:noProof/>
          <w:sz w:val="22"/>
        </w:rPr>
      </w:pPr>
      <w:hyperlink w:anchor="_Toc256000178"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_Toc256000178 \h </w:instrText>
        </w:r>
        <w:r>
          <w:fldChar w:fldCharType="separate"/>
        </w:r>
        <w:r>
          <w:t>814</w:t>
        </w:r>
        <w:r>
          <w:fldChar w:fldCharType="end"/>
        </w:r>
      </w:hyperlink>
    </w:p>
    <w:p>
      <w:pPr>
        <w:pStyle w:val="TOC2"/>
        <w:rPr>
          <w:rFonts w:ascii="Calibri" w:hAnsi="Calibri"/>
          <w:noProof/>
          <w:sz w:val="22"/>
        </w:rPr>
      </w:pPr>
      <w:hyperlink w:anchor="_Toc256000179"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_Toc256000179 \h </w:instrText>
        </w:r>
        <w:r>
          <w:fldChar w:fldCharType="separate"/>
        </w:r>
        <w:r>
          <w:t>814</w:t>
        </w:r>
        <w:r>
          <w:fldChar w:fldCharType="end"/>
        </w:r>
      </w:hyperlink>
    </w:p>
    <w:p>
      <w:pPr>
        <w:pStyle w:val="TOC2"/>
        <w:rPr>
          <w:rFonts w:ascii="Calibri" w:hAnsi="Calibri"/>
          <w:noProof/>
          <w:sz w:val="22"/>
        </w:rPr>
      </w:pPr>
      <w:hyperlink w:anchor="_Toc256000180"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_Toc256000180 \h </w:instrText>
        </w:r>
        <w:r>
          <w:fldChar w:fldCharType="separate"/>
        </w:r>
        <w:r>
          <w:t>815</w:t>
        </w:r>
        <w:r>
          <w:fldChar w:fldCharType="end"/>
        </w:r>
      </w:hyperlink>
    </w:p>
    <w:p>
      <w:pPr>
        <w:pStyle w:val="TOC2"/>
        <w:rPr>
          <w:rFonts w:ascii="Calibri" w:hAnsi="Calibri"/>
          <w:noProof/>
          <w:sz w:val="22"/>
        </w:rPr>
      </w:pPr>
      <w:hyperlink w:anchor="_Toc256000181"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_Toc256000181 \h </w:instrText>
        </w:r>
        <w:r>
          <w:fldChar w:fldCharType="separate"/>
        </w:r>
        <w:r>
          <w:t>815</w:t>
        </w:r>
        <w:r>
          <w:fldChar w:fldCharType="end"/>
        </w:r>
      </w:hyperlink>
    </w:p>
    <w:p>
      <w:pPr>
        <w:pStyle w:val="TOC2"/>
        <w:rPr>
          <w:rFonts w:ascii="Calibri" w:hAnsi="Calibri"/>
          <w:noProof/>
          <w:sz w:val="22"/>
        </w:rPr>
      </w:pPr>
      <w:hyperlink w:anchor="_Toc256000182"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_Toc256000182 \h </w:instrText>
        </w:r>
        <w:r>
          <w:fldChar w:fldCharType="separate"/>
        </w:r>
        <w:r>
          <w:t>815</w:t>
        </w:r>
        <w:r>
          <w:fldChar w:fldCharType="end"/>
        </w:r>
      </w:hyperlink>
    </w:p>
    <w:p>
      <w:pPr>
        <w:pStyle w:val="TOC2"/>
        <w:rPr>
          <w:rFonts w:ascii="Calibri" w:hAnsi="Calibri"/>
          <w:noProof/>
          <w:sz w:val="22"/>
        </w:rPr>
      </w:pPr>
      <w:hyperlink w:anchor="_Toc256000183"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_Toc256000183 \h </w:instrText>
        </w:r>
        <w:r>
          <w:fldChar w:fldCharType="separate"/>
        </w:r>
        <w:r>
          <w:t>815</w:t>
        </w:r>
        <w:r>
          <w:fldChar w:fldCharType="end"/>
        </w:r>
      </w:hyperlink>
    </w:p>
    <w:p>
      <w:pPr>
        <w:pStyle w:val="TOC2"/>
        <w:rPr>
          <w:rFonts w:ascii="Calibri" w:hAnsi="Calibri"/>
          <w:noProof/>
          <w:sz w:val="22"/>
        </w:rPr>
      </w:pPr>
      <w:hyperlink w:anchor="_Toc256000184"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_Toc256000184 \h </w:instrText>
        </w:r>
        <w:r>
          <w:fldChar w:fldCharType="separate"/>
        </w:r>
        <w:r>
          <w:t>816</w:t>
        </w:r>
        <w:r>
          <w:fldChar w:fldCharType="end"/>
        </w:r>
      </w:hyperlink>
    </w:p>
    <w:p>
      <w:pPr>
        <w:pStyle w:val="TOC2"/>
        <w:rPr>
          <w:rFonts w:ascii="Calibri" w:hAnsi="Calibri"/>
          <w:noProof/>
          <w:sz w:val="22"/>
        </w:rPr>
      </w:pPr>
      <w:hyperlink w:anchor="_Toc256000185"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_Toc256000185 \h </w:instrText>
        </w:r>
        <w:r>
          <w:fldChar w:fldCharType="separate"/>
        </w:r>
        <w:r>
          <w:t>816</w:t>
        </w:r>
        <w:r>
          <w:fldChar w:fldCharType="end"/>
        </w:r>
      </w:hyperlink>
    </w:p>
    <w:p>
      <w:pPr>
        <w:pStyle w:val="TOC2"/>
        <w:rPr>
          <w:rFonts w:ascii="Calibri" w:hAnsi="Calibri"/>
          <w:noProof/>
          <w:sz w:val="22"/>
        </w:rPr>
      </w:pPr>
      <w:hyperlink w:anchor="_Toc256000186"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_Toc256000186 \h </w:instrText>
        </w:r>
        <w:r>
          <w:fldChar w:fldCharType="separate"/>
        </w:r>
        <w:r>
          <w:t>816</w:t>
        </w:r>
        <w:r>
          <w:fldChar w:fldCharType="end"/>
        </w:r>
      </w:hyperlink>
    </w:p>
    <w:p>
      <w:pPr>
        <w:pStyle w:val="TOC2"/>
        <w:rPr>
          <w:rFonts w:ascii="Calibri" w:hAnsi="Calibri"/>
          <w:noProof/>
          <w:sz w:val="22"/>
        </w:rPr>
      </w:pPr>
      <w:hyperlink w:anchor="_Toc256000187"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_Toc256000187 \h </w:instrText>
        </w:r>
        <w:r>
          <w:fldChar w:fldCharType="separate"/>
        </w:r>
        <w:r>
          <w:t>816</w:t>
        </w:r>
        <w:r>
          <w:fldChar w:fldCharType="end"/>
        </w:r>
      </w:hyperlink>
    </w:p>
    <w:p>
      <w:pPr>
        <w:pStyle w:val="TOC2"/>
        <w:rPr>
          <w:rFonts w:ascii="Calibri" w:hAnsi="Calibri"/>
          <w:noProof/>
          <w:sz w:val="22"/>
        </w:rPr>
      </w:pPr>
      <w:hyperlink w:anchor="_Toc256000188"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_Toc256000188 \h </w:instrText>
        </w:r>
        <w:r>
          <w:fldChar w:fldCharType="separate"/>
        </w:r>
        <w:r>
          <w:t>816</w:t>
        </w:r>
        <w:r>
          <w:fldChar w:fldCharType="end"/>
        </w:r>
      </w:hyperlink>
    </w:p>
    <w:p>
      <w:pPr>
        <w:pStyle w:val="TOC2"/>
        <w:rPr>
          <w:rFonts w:ascii="Calibri" w:hAnsi="Calibri"/>
          <w:noProof/>
          <w:sz w:val="22"/>
        </w:rPr>
      </w:pPr>
      <w:hyperlink w:anchor="_Toc256000189"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_Toc256000189 \h </w:instrText>
        </w:r>
        <w:r>
          <w:fldChar w:fldCharType="separate"/>
        </w:r>
        <w:r>
          <w:t>817</w:t>
        </w:r>
        <w:r>
          <w:fldChar w:fldCharType="end"/>
        </w:r>
      </w:hyperlink>
    </w:p>
    <w:p>
      <w:pPr>
        <w:pStyle w:val="TOC2"/>
        <w:rPr>
          <w:rFonts w:ascii="Calibri" w:hAnsi="Calibri"/>
          <w:noProof/>
          <w:sz w:val="22"/>
        </w:rPr>
      </w:pPr>
      <w:hyperlink w:anchor="_Toc256000190"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_Toc256000190 \h </w:instrText>
        </w:r>
        <w:r>
          <w:fldChar w:fldCharType="separate"/>
        </w:r>
        <w:r>
          <w:t>817</w:t>
        </w:r>
        <w:r>
          <w:fldChar w:fldCharType="end"/>
        </w:r>
      </w:hyperlink>
    </w:p>
    <w:p>
      <w:pPr>
        <w:pStyle w:val="TOC2"/>
        <w:rPr>
          <w:rFonts w:ascii="Calibri" w:hAnsi="Calibri"/>
          <w:noProof/>
          <w:sz w:val="22"/>
        </w:rPr>
      </w:pPr>
      <w:hyperlink w:anchor="_Toc256000191"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_Toc256000191 \h </w:instrText>
        </w:r>
        <w:r>
          <w:fldChar w:fldCharType="separate"/>
        </w:r>
        <w:r>
          <w:t>817</w:t>
        </w:r>
        <w:r>
          <w:fldChar w:fldCharType="end"/>
        </w:r>
      </w:hyperlink>
    </w:p>
    <w:p>
      <w:pPr>
        <w:pStyle w:val="TOC2"/>
        <w:rPr>
          <w:rFonts w:ascii="Calibri" w:hAnsi="Calibri"/>
          <w:noProof/>
          <w:sz w:val="22"/>
        </w:rPr>
      </w:pPr>
      <w:hyperlink w:anchor="_Toc256000192"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_Toc256000192 \h </w:instrText>
        </w:r>
        <w:r>
          <w:fldChar w:fldCharType="separate"/>
        </w:r>
        <w:r>
          <w:t>817</w:t>
        </w:r>
        <w:r>
          <w:fldChar w:fldCharType="end"/>
        </w:r>
      </w:hyperlink>
    </w:p>
    <w:p>
      <w:pPr>
        <w:pStyle w:val="TOC2"/>
        <w:rPr>
          <w:rFonts w:ascii="Calibri" w:hAnsi="Calibri"/>
          <w:noProof/>
          <w:sz w:val="22"/>
        </w:rPr>
      </w:pPr>
      <w:hyperlink w:anchor="_Toc256000193"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_Toc256000193 \h </w:instrText>
        </w:r>
        <w:r>
          <w:fldChar w:fldCharType="separate"/>
        </w:r>
        <w:r>
          <w:t>818</w:t>
        </w:r>
        <w:r>
          <w:fldChar w:fldCharType="end"/>
        </w:r>
      </w:hyperlink>
    </w:p>
    <w:p>
      <w:pPr>
        <w:pStyle w:val="TOC2"/>
        <w:rPr>
          <w:rFonts w:ascii="Calibri" w:hAnsi="Calibri"/>
          <w:noProof/>
          <w:sz w:val="22"/>
        </w:rPr>
      </w:pPr>
      <w:hyperlink w:anchor="_Toc256000194"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_Toc256000194 \h </w:instrText>
        </w:r>
        <w:r>
          <w:fldChar w:fldCharType="separate"/>
        </w:r>
        <w:r>
          <w:t>818</w:t>
        </w:r>
        <w:r>
          <w:fldChar w:fldCharType="end"/>
        </w:r>
      </w:hyperlink>
    </w:p>
    <w:p>
      <w:pPr>
        <w:pStyle w:val="TOC2"/>
        <w:rPr>
          <w:rFonts w:ascii="Calibri" w:hAnsi="Calibri"/>
          <w:noProof/>
          <w:sz w:val="22"/>
        </w:rPr>
      </w:pPr>
      <w:hyperlink w:anchor="_Toc256000195"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_Toc256000195 \h </w:instrText>
        </w:r>
        <w:r>
          <w:fldChar w:fldCharType="separate"/>
        </w:r>
        <w:r>
          <w:t>818</w:t>
        </w:r>
        <w:r>
          <w:fldChar w:fldCharType="end"/>
        </w:r>
      </w:hyperlink>
    </w:p>
    <w:p>
      <w:pPr>
        <w:pStyle w:val="TOC1"/>
        <w:rPr>
          <w:rFonts w:ascii="Calibri" w:hAnsi="Calibri"/>
          <w:noProof/>
          <w:sz w:val="22"/>
        </w:rPr>
      </w:pPr>
      <w:hyperlink w:anchor="_Toc256000196"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_Toc256000196 \h </w:instrText>
        </w:r>
        <w:r>
          <w:fldChar w:fldCharType="separate"/>
        </w:r>
        <w:r>
          <w:t>819</w:t>
        </w:r>
        <w:r>
          <w:fldChar w:fldCharType="end"/>
        </w:r>
      </w:hyperlink>
    </w:p>
    <w:p>
      <w:pPr>
        <w:pStyle w:val="TOC2"/>
        <w:rPr>
          <w:rFonts w:ascii="Calibri" w:hAnsi="Calibri"/>
          <w:noProof/>
          <w:sz w:val="22"/>
        </w:rPr>
      </w:pPr>
      <w:hyperlink w:anchor="_Toc256000197"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_Toc256000197 \h </w:instrText>
        </w:r>
        <w:r>
          <w:fldChar w:fldCharType="separate"/>
        </w:r>
        <w:r>
          <w:t>822</w:t>
        </w:r>
        <w:r>
          <w:fldChar w:fldCharType="end"/>
        </w:r>
      </w:hyperlink>
    </w:p>
    <w:p>
      <w:pPr>
        <w:pStyle w:val="TOC2"/>
        <w:rPr>
          <w:rFonts w:ascii="Calibri" w:hAnsi="Calibri"/>
          <w:noProof/>
          <w:sz w:val="22"/>
        </w:rPr>
      </w:pPr>
      <w:hyperlink w:anchor="_Toc256000198"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_Toc256000198 \h </w:instrText>
        </w:r>
        <w:r>
          <w:fldChar w:fldCharType="separate"/>
        </w:r>
        <w:r>
          <w:t>822</w:t>
        </w:r>
        <w:r>
          <w:fldChar w:fldCharType="end"/>
        </w:r>
      </w:hyperlink>
    </w:p>
    <w:p>
      <w:pPr>
        <w:pStyle w:val="TOC2"/>
        <w:rPr>
          <w:rFonts w:ascii="Calibri" w:hAnsi="Calibri"/>
          <w:noProof/>
          <w:sz w:val="22"/>
        </w:rPr>
      </w:pPr>
      <w:hyperlink w:anchor="_Toc256000199"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_Toc256000199 \h </w:instrText>
        </w:r>
        <w:r>
          <w:fldChar w:fldCharType="separate"/>
        </w:r>
        <w:r>
          <w:t>823</w:t>
        </w:r>
        <w:r>
          <w:fldChar w:fldCharType="end"/>
        </w:r>
      </w:hyperlink>
    </w:p>
    <w:p>
      <w:pPr>
        <w:pStyle w:val="TOC2"/>
        <w:rPr>
          <w:rFonts w:ascii="Calibri" w:hAnsi="Calibri"/>
          <w:noProof/>
          <w:sz w:val="22"/>
        </w:rPr>
      </w:pPr>
      <w:hyperlink w:anchor="_Toc256000200"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_Toc256000200 \h </w:instrText>
        </w:r>
        <w:r>
          <w:fldChar w:fldCharType="separate"/>
        </w:r>
        <w:r>
          <w:t>823</w:t>
        </w:r>
        <w:r>
          <w:fldChar w:fldCharType="end"/>
        </w:r>
      </w:hyperlink>
    </w:p>
    <w:p>
      <w:pPr>
        <w:pStyle w:val="TOC2"/>
        <w:rPr>
          <w:rFonts w:ascii="Calibri" w:hAnsi="Calibri"/>
          <w:noProof/>
          <w:sz w:val="22"/>
        </w:rPr>
      </w:pPr>
      <w:hyperlink w:anchor="_Toc256000201"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_Toc256000201 \h </w:instrText>
        </w:r>
        <w:r>
          <w:fldChar w:fldCharType="separate"/>
        </w:r>
        <w:r>
          <w:t>824</w:t>
        </w:r>
        <w:r>
          <w:fldChar w:fldCharType="end"/>
        </w:r>
      </w:hyperlink>
    </w:p>
    <w:p>
      <w:pPr>
        <w:pStyle w:val="TOC2"/>
        <w:rPr>
          <w:rFonts w:ascii="Calibri" w:hAnsi="Calibri"/>
          <w:noProof/>
          <w:sz w:val="22"/>
        </w:rPr>
      </w:pPr>
      <w:hyperlink w:anchor="_Toc256000202"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_Toc256000202 \h </w:instrText>
        </w:r>
        <w:r>
          <w:fldChar w:fldCharType="separate"/>
        </w:r>
        <w:r>
          <w:t>824</w:t>
        </w:r>
        <w:r>
          <w:fldChar w:fldCharType="end"/>
        </w:r>
      </w:hyperlink>
    </w:p>
    <w:p>
      <w:pPr>
        <w:pStyle w:val="TOC2"/>
        <w:rPr>
          <w:rFonts w:ascii="Calibri" w:hAnsi="Calibri"/>
          <w:noProof/>
          <w:sz w:val="22"/>
        </w:rPr>
      </w:pPr>
      <w:hyperlink w:anchor="_Toc256000203"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_Toc256000203 \h </w:instrText>
        </w:r>
        <w:r>
          <w:fldChar w:fldCharType="separate"/>
        </w:r>
        <w:r>
          <w:t>825</w:t>
        </w:r>
        <w:r>
          <w:fldChar w:fldCharType="end"/>
        </w:r>
      </w:hyperlink>
    </w:p>
    <w:p>
      <w:pPr>
        <w:pStyle w:val="TOC2"/>
        <w:rPr>
          <w:rFonts w:ascii="Calibri" w:hAnsi="Calibri"/>
          <w:noProof/>
          <w:sz w:val="22"/>
        </w:rPr>
      </w:pPr>
      <w:hyperlink w:anchor="_Toc256000204"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_Toc256000204 \h </w:instrText>
        </w:r>
        <w:r>
          <w:fldChar w:fldCharType="separate"/>
        </w:r>
        <w:r>
          <w:t>825</w:t>
        </w:r>
        <w:r>
          <w:fldChar w:fldCharType="end"/>
        </w:r>
      </w:hyperlink>
    </w:p>
    <w:p>
      <w:pPr>
        <w:pStyle w:val="TOC2"/>
        <w:rPr>
          <w:rFonts w:ascii="Calibri" w:hAnsi="Calibri"/>
          <w:noProof/>
          <w:sz w:val="22"/>
        </w:rPr>
      </w:pPr>
      <w:hyperlink w:anchor="_Toc256000205"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_Toc256000205 \h </w:instrText>
        </w:r>
        <w:r>
          <w:fldChar w:fldCharType="separate"/>
        </w:r>
        <w:r>
          <w:t>826</w:t>
        </w:r>
        <w:r>
          <w:fldChar w:fldCharType="end"/>
        </w:r>
      </w:hyperlink>
    </w:p>
    <w:p>
      <w:pPr>
        <w:pStyle w:val="TOC2"/>
        <w:rPr>
          <w:rFonts w:ascii="Calibri" w:hAnsi="Calibri"/>
          <w:noProof/>
          <w:sz w:val="22"/>
        </w:rPr>
      </w:pPr>
      <w:hyperlink w:anchor="_Toc256000206"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826</w:t>
        </w:r>
        <w:r>
          <w:fldChar w:fldCharType="end"/>
        </w:r>
      </w:hyperlink>
    </w:p>
    <w:p>
      <w:pPr>
        <w:pStyle w:val="TOC2"/>
        <w:rPr>
          <w:rFonts w:ascii="Calibri" w:hAnsi="Calibri"/>
          <w:noProof/>
          <w:sz w:val="22"/>
        </w:rPr>
      </w:pPr>
      <w:hyperlink w:anchor="_Toc256000207"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_Toc256000207 \h </w:instrText>
        </w:r>
        <w:r>
          <w:fldChar w:fldCharType="separate"/>
        </w:r>
        <w:r>
          <w:t>827</w:t>
        </w:r>
        <w:r>
          <w:fldChar w:fldCharType="end"/>
        </w:r>
      </w:hyperlink>
    </w:p>
    <w:p>
      <w:pPr>
        <w:pStyle w:val="TOC2"/>
        <w:rPr>
          <w:rFonts w:ascii="Calibri" w:hAnsi="Calibri"/>
          <w:noProof/>
          <w:sz w:val="22"/>
        </w:rPr>
      </w:pPr>
      <w:hyperlink w:anchor="_Toc256000208"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_Toc256000208 \h </w:instrText>
        </w:r>
        <w:r>
          <w:fldChar w:fldCharType="separate"/>
        </w:r>
        <w:r>
          <w:t>827</w:t>
        </w:r>
        <w:r>
          <w:fldChar w:fldCharType="end"/>
        </w:r>
      </w:hyperlink>
    </w:p>
    <w:p>
      <w:pPr>
        <w:pStyle w:val="TOC2"/>
        <w:rPr>
          <w:rFonts w:ascii="Calibri" w:hAnsi="Calibri"/>
          <w:noProof/>
          <w:sz w:val="22"/>
        </w:rPr>
      </w:pPr>
      <w:hyperlink w:anchor="_Toc256000209"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828</w:t>
        </w:r>
        <w:r>
          <w:fldChar w:fldCharType="end"/>
        </w:r>
      </w:hyperlink>
    </w:p>
    <w:p>
      <w:pPr>
        <w:pStyle w:val="TOC2"/>
        <w:rPr>
          <w:rFonts w:ascii="Calibri" w:hAnsi="Calibri"/>
          <w:noProof/>
          <w:sz w:val="22"/>
        </w:rPr>
      </w:pPr>
      <w:hyperlink w:anchor="_Toc256000210"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_Toc256000210 \h </w:instrText>
        </w:r>
        <w:r>
          <w:fldChar w:fldCharType="separate"/>
        </w:r>
        <w:r>
          <w:t>828</w:t>
        </w:r>
        <w:r>
          <w:fldChar w:fldCharType="end"/>
        </w:r>
      </w:hyperlink>
    </w:p>
    <w:p>
      <w:pPr>
        <w:pStyle w:val="TOC2"/>
        <w:rPr>
          <w:rFonts w:ascii="Calibri" w:hAnsi="Calibri"/>
          <w:noProof/>
          <w:sz w:val="22"/>
        </w:rPr>
      </w:pPr>
      <w:hyperlink w:anchor="_Toc256000211"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_Toc256000211 \h </w:instrText>
        </w:r>
        <w:r>
          <w:fldChar w:fldCharType="separate"/>
        </w:r>
        <w:r>
          <w:t>829</w:t>
        </w:r>
        <w:r>
          <w:fldChar w:fldCharType="end"/>
        </w:r>
      </w:hyperlink>
    </w:p>
    <w:p>
      <w:pPr>
        <w:pStyle w:val="TOC2"/>
        <w:rPr>
          <w:rFonts w:ascii="Calibri" w:hAnsi="Calibri"/>
          <w:noProof/>
          <w:sz w:val="22"/>
        </w:rPr>
      </w:pPr>
      <w:hyperlink w:anchor="_Toc256000212"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_Toc256000212 \h </w:instrText>
        </w:r>
        <w:r>
          <w:fldChar w:fldCharType="separate"/>
        </w:r>
        <w:r>
          <w:t>829</w:t>
        </w:r>
        <w:r>
          <w:fldChar w:fldCharType="end"/>
        </w:r>
      </w:hyperlink>
    </w:p>
    <w:p>
      <w:pPr>
        <w:pStyle w:val="TOC2"/>
        <w:rPr>
          <w:rFonts w:ascii="Calibri" w:hAnsi="Calibri"/>
          <w:noProof/>
          <w:sz w:val="22"/>
        </w:rPr>
      </w:pPr>
      <w:hyperlink w:anchor="_Toc256000213"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_Toc256000213 \h </w:instrText>
        </w:r>
        <w:r>
          <w:fldChar w:fldCharType="separate"/>
        </w:r>
        <w:r>
          <w:t>830</w:t>
        </w:r>
        <w:r>
          <w:fldChar w:fldCharType="end"/>
        </w:r>
      </w:hyperlink>
    </w:p>
    <w:p>
      <w:pPr>
        <w:pStyle w:val="TOC2"/>
        <w:rPr>
          <w:rFonts w:ascii="Calibri" w:hAnsi="Calibri"/>
          <w:noProof/>
          <w:sz w:val="22"/>
        </w:rPr>
      </w:pPr>
      <w:hyperlink w:anchor="_Toc256000214"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_Toc256000214 \h </w:instrText>
        </w:r>
        <w:r>
          <w:fldChar w:fldCharType="separate"/>
        </w:r>
        <w:r>
          <w:t>830</w:t>
        </w:r>
        <w:r>
          <w:fldChar w:fldCharType="end"/>
        </w:r>
      </w:hyperlink>
    </w:p>
    <w:p>
      <w:pPr>
        <w:pStyle w:val="TOC2"/>
        <w:rPr>
          <w:rFonts w:ascii="Calibri" w:hAnsi="Calibri"/>
          <w:noProof/>
          <w:sz w:val="22"/>
        </w:rPr>
      </w:pPr>
      <w:hyperlink w:anchor="_Toc256000215"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_Toc256000215 \h </w:instrText>
        </w:r>
        <w:r>
          <w:fldChar w:fldCharType="separate"/>
        </w:r>
        <w:r>
          <w:t>830</w:t>
        </w:r>
        <w:r>
          <w:fldChar w:fldCharType="end"/>
        </w:r>
      </w:hyperlink>
    </w:p>
    <w:p>
      <w:pPr>
        <w:pStyle w:val="TOC2"/>
        <w:rPr>
          <w:rFonts w:ascii="Calibri" w:hAnsi="Calibri"/>
          <w:noProof/>
          <w:sz w:val="22"/>
        </w:rPr>
      </w:pPr>
      <w:hyperlink w:anchor="_Toc256000216"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_Toc256000216 \h </w:instrText>
        </w:r>
        <w:r>
          <w:fldChar w:fldCharType="separate"/>
        </w:r>
        <w:r>
          <w:t>831</w:t>
        </w:r>
        <w:r>
          <w:fldChar w:fldCharType="end"/>
        </w:r>
      </w:hyperlink>
    </w:p>
    <w:p>
      <w:pPr>
        <w:pStyle w:val="TOC2"/>
        <w:rPr>
          <w:rFonts w:ascii="Calibri" w:hAnsi="Calibri"/>
          <w:noProof/>
          <w:sz w:val="22"/>
        </w:rPr>
      </w:pPr>
      <w:hyperlink w:anchor="_Toc256000217"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_Toc256000217 \h </w:instrText>
        </w:r>
        <w:r>
          <w:fldChar w:fldCharType="separate"/>
        </w:r>
        <w:r>
          <w:t>831</w:t>
        </w:r>
        <w:r>
          <w:fldChar w:fldCharType="end"/>
        </w:r>
      </w:hyperlink>
    </w:p>
    <w:p>
      <w:pPr>
        <w:pStyle w:val="TOC2"/>
        <w:rPr>
          <w:rFonts w:ascii="Calibri" w:hAnsi="Calibri"/>
          <w:noProof/>
          <w:sz w:val="22"/>
        </w:rPr>
      </w:pPr>
      <w:hyperlink w:anchor="_Toc256000218"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_Toc256000218 \h </w:instrText>
        </w:r>
        <w:r>
          <w:fldChar w:fldCharType="separate"/>
        </w:r>
        <w:r>
          <w:t>832</w:t>
        </w:r>
        <w:r>
          <w:fldChar w:fldCharType="end"/>
        </w:r>
      </w:hyperlink>
    </w:p>
    <w:p>
      <w:pPr>
        <w:pStyle w:val="TOC2"/>
        <w:rPr>
          <w:rFonts w:ascii="Calibri" w:hAnsi="Calibri"/>
          <w:noProof/>
          <w:sz w:val="22"/>
        </w:rPr>
      </w:pPr>
      <w:hyperlink w:anchor="_Toc256000219"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_Toc256000219 \h </w:instrText>
        </w:r>
        <w:r>
          <w:fldChar w:fldCharType="separate"/>
        </w:r>
        <w:r>
          <w:t>832</w:t>
        </w:r>
        <w:r>
          <w:fldChar w:fldCharType="end"/>
        </w:r>
      </w:hyperlink>
    </w:p>
    <w:p>
      <w:pPr>
        <w:pStyle w:val="TOC1"/>
        <w:rPr>
          <w:rFonts w:ascii="Calibri" w:hAnsi="Calibri"/>
          <w:noProof/>
          <w:sz w:val="22"/>
        </w:rPr>
      </w:pPr>
      <w:hyperlink w:anchor="_Toc256000220"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_Toc256000220 \h </w:instrText>
        </w:r>
        <w:r>
          <w:fldChar w:fldCharType="separate"/>
        </w:r>
        <w:r>
          <w:t>834</w:t>
        </w:r>
        <w:r>
          <w:fldChar w:fldCharType="end"/>
        </w:r>
      </w:hyperlink>
    </w:p>
    <w:p>
      <w:pPr>
        <w:pStyle w:val="TOC2"/>
        <w:rPr>
          <w:rFonts w:ascii="Calibri" w:hAnsi="Calibri"/>
          <w:noProof/>
          <w:sz w:val="22"/>
        </w:rPr>
      </w:pPr>
      <w:hyperlink w:anchor="_Toc256000221"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_Toc256000221 \h </w:instrText>
        </w:r>
        <w:r>
          <w:fldChar w:fldCharType="separate"/>
        </w:r>
        <w:r>
          <w:t>834</w:t>
        </w:r>
        <w:r>
          <w:fldChar w:fldCharType="end"/>
        </w:r>
      </w:hyperlink>
    </w:p>
    <w:p>
      <w:pPr>
        <w:pStyle w:val="TOC3"/>
        <w:rPr>
          <w:rFonts w:ascii="Calibri" w:hAnsi="Calibri"/>
          <w:noProof/>
          <w:sz w:val="22"/>
        </w:rPr>
      </w:pPr>
      <w:hyperlink w:anchor="_Toc256000222"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_Toc256000222 \h </w:instrText>
        </w:r>
        <w:r>
          <w:fldChar w:fldCharType="separate"/>
        </w:r>
        <w:r>
          <w:t>834</w:t>
        </w:r>
        <w:r>
          <w:fldChar w:fldCharType="end"/>
        </w:r>
      </w:hyperlink>
    </w:p>
    <w:p>
      <w:pPr>
        <w:pStyle w:val="TOC3"/>
        <w:rPr>
          <w:rFonts w:ascii="Calibri" w:hAnsi="Calibri"/>
          <w:noProof/>
          <w:sz w:val="22"/>
        </w:rPr>
      </w:pPr>
      <w:hyperlink w:anchor="_Toc256000223"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_Toc256000223 \h </w:instrText>
        </w:r>
        <w:r>
          <w:fldChar w:fldCharType="separate"/>
        </w:r>
        <w:r>
          <w:t>842</w:t>
        </w:r>
        <w:r>
          <w:fldChar w:fldCharType="end"/>
        </w:r>
      </w:hyperlink>
    </w:p>
    <w:p>
      <w:pPr>
        <w:pStyle w:val="TOC2"/>
        <w:rPr>
          <w:rFonts w:ascii="Calibri" w:hAnsi="Calibri"/>
          <w:noProof/>
          <w:sz w:val="22"/>
        </w:rPr>
      </w:pPr>
      <w:hyperlink w:anchor="_Toc256000224"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_Toc256000224 \h </w:instrText>
        </w:r>
        <w:r>
          <w:fldChar w:fldCharType="separate"/>
        </w:r>
        <w:r>
          <w:t>842</w:t>
        </w:r>
        <w:r>
          <w:fldChar w:fldCharType="end"/>
        </w:r>
      </w:hyperlink>
    </w:p>
    <w:p>
      <w:pPr>
        <w:pStyle w:val="TOC1"/>
        <w:rPr>
          <w:rFonts w:ascii="Calibri" w:hAnsi="Calibri"/>
          <w:noProof/>
          <w:sz w:val="22"/>
        </w:rPr>
      </w:pPr>
      <w:hyperlink w:anchor="_Toc256000225"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_Toc256000225 \h </w:instrText>
        </w:r>
        <w:r>
          <w:fldChar w:fldCharType="separate"/>
        </w:r>
        <w:r>
          <w:t>845</w:t>
        </w:r>
        <w:r>
          <w:fldChar w:fldCharType="end"/>
        </w:r>
      </w:hyperlink>
    </w:p>
    <w:p>
      <w:pPr>
        <w:pStyle w:val="TOC2"/>
        <w:rPr>
          <w:rFonts w:ascii="Calibri" w:hAnsi="Calibri"/>
          <w:noProof/>
          <w:sz w:val="22"/>
        </w:rPr>
      </w:pPr>
      <w:hyperlink w:anchor="_Toc256000226"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_Toc256000226 \h </w:instrText>
        </w:r>
        <w:r>
          <w:fldChar w:fldCharType="separate"/>
        </w:r>
        <w:r>
          <w:t>845</w:t>
        </w:r>
        <w:r>
          <w:fldChar w:fldCharType="end"/>
        </w:r>
      </w:hyperlink>
    </w:p>
    <w:p>
      <w:pPr>
        <w:pStyle w:val="TOC3"/>
        <w:rPr>
          <w:rFonts w:ascii="Calibri" w:hAnsi="Calibri"/>
          <w:noProof/>
          <w:sz w:val="22"/>
        </w:rPr>
      </w:pPr>
      <w:hyperlink w:anchor="_Toc256000227" w:history="1">
        <w:r>
          <w:rPr>
            <w:rStyle w:val="Hyperlink"/>
          </w:rPr>
          <w:t>15.1.1.</w:t>
        </w:r>
        <w:r>
          <w:rPr>
            <w:rStyle w:val="Hyperlink"/>
          </w:rPr>
          <w:t xml:space="preserve"> </w:t>
        </w:r>
        <w:r>
          <w:rPr>
            <w:rStyle w:val="Hyperlink"/>
          </w:rPr>
          <w:t>Органи</w:t>
        </w:r>
        <w:r>
          <w:tab/>
        </w:r>
        <w:r>
          <w:fldChar w:fldCharType="begin"/>
        </w:r>
        <w:r>
          <w:instrText xml:space="preserve"> PAGEREF _Toc256000227 \h </w:instrText>
        </w:r>
        <w:r>
          <w:fldChar w:fldCharType="separate"/>
        </w:r>
        <w:r>
          <w:t>845</w:t>
        </w:r>
        <w:r>
          <w:fldChar w:fldCharType="end"/>
        </w:r>
      </w:hyperlink>
    </w:p>
    <w:p>
      <w:pPr>
        <w:pStyle w:val="TOC3"/>
        <w:rPr>
          <w:rFonts w:ascii="Calibri" w:hAnsi="Calibri"/>
          <w:noProof/>
          <w:sz w:val="22"/>
        </w:rPr>
      </w:pPr>
      <w:hyperlink w:anchor="_Toc256000228"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_Toc256000228 \h </w:instrText>
        </w:r>
        <w:r>
          <w:fldChar w:fldCharType="separate"/>
        </w:r>
        <w:r>
          <w:t>845</w:t>
        </w:r>
        <w:r>
          <w:fldChar w:fldCharType="end"/>
        </w:r>
      </w:hyperlink>
    </w:p>
    <w:p>
      <w:pPr>
        <w:pStyle w:val="TOC2"/>
        <w:rPr>
          <w:rFonts w:ascii="Calibri" w:hAnsi="Calibri"/>
          <w:noProof/>
          <w:sz w:val="22"/>
        </w:rPr>
      </w:pPr>
      <w:hyperlink w:anchor="_Toc256000229"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_Toc256000229 \h </w:instrText>
        </w:r>
        <w:r>
          <w:fldChar w:fldCharType="separate"/>
        </w:r>
        <w:r>
          <w:t>849</w:t>
        </w:r>
        <w:r>
          <w:fldChar w:fldCharType="end"/>
        </w:r>
      </w:hyperlink>
    </w:p>
    <w:p>
      <w:pPr>
        <w:pStyle w:val="TOC2"/>
        <w:rPr>
          <w:rFonts w:ascii="Calibri" w:hAnsi="Calibri"/>
          <w:noProof/>
          <w:sz w:val="22"/>
        </w:rPr>
      </w:pPr>
      <w:hyperlink w:anchor="_Toc256000230"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_Toc256000230 \h </w:instrText>
        </w:r>
        <w:r>
          <w:fldChar w:fldCharType="separate"/>
        </w:r>
        <w:r>
          <w:t>851</w:t>
        </w:r>
        <w:r>
          <w:fldChar w:fldCharType="end"/>
        </w:r>
      </w:hyperlink>
    </w:p>
    <w:p>
      <w:pPr>
        <w:pStyle w:val="TOC2"/>
        <w:rPr>
          <w:rFonts w:ascii="Calibri" w:hAnsi="Calibri"/>
          <w:noProof/>
          <w:sz w:val="22"/>
        </w:rPr>
      </w:pPr>
      <w:hyperlink w:anchor="_Toc256000231"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_Toc256000231 \h </w:instrText>
        </w:r>
        <w:r>
          <w:fldChar w:fldCharType="separate"/>
        </w:r>
        <w:r>
          <w:t>857</w:t>
        </w:r>
        <w:r>
          <w:fldChar w:fldCharType="end"/>
        </w:r>
      </w:hyperlink>
    </w:p>
    <w:p>
      <w:pPr>
        <w:pStyle w:val="TOC2"/>
        <w:rPr>
          <w:rFonts w:ascii="Calibri" w:hAnsi="Calibri"/>
          <w:noProof/>
          <w:sz w:val="22"/>
        </w:rPr>
      </w:pPr>
      <w:hyperlink w:anchor="_Toc256000232"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_Toc256000232 \h </w:instrText>
        </w:r>
        <w:r>
          <w:fldChar w:fldCharType="separate"/>
        </w:r>
        <w:r>
          <w:t>858</w:t>
        </w:r>
        <w:r>
          <w:fldChar w:fldCharType="end"/>
        </w:r>
      </w:hyperlink>
    </w:p>
    <w:p>
      <w:pPr>
        <w:pStyle w:val="TOC2"/>
        <w:rPr>
          <w:rFonts w:ascii="Calibri" w:hAnsi="Calibri"/>
          <w:noProof/>
          <w:sz w:val="22"/>
        </w:rPr>
      </w:pPr>
      <w:hyperlink w:anchor="_Toc256000233"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_Toc256000233 \h </w:instrText>
        </w:r>
        <w:r>
          <w:fldChar w:fldCharType="separate"/>
        </w:r>
        <w:r>
          <w:t>861</w:t>
        </w:r>
        <w:r>
          <w:fldChar w:fldCharType="end"/>
        </w:r>
      </w:hyperlink>
    </w:p>
    <w:p>
      <w:pPr>
        <w:pStyle w:val="TOC1"/>
        <w:rPr>
          <w:rFonts w:ascii="Calibri" w:hAnsi="Calibri"/>
          <w:noProof/>
          <w:sz w:val="22"/>
        </w:rPr>
      </w:pPr>
      <w:hyperlink w:anchor="_Toc256000234"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_Toc256000234 \h </w:instrText>
        </w:r>
        <w:r>
          <w:fldChar w:fldCharType="separate"/>
        </w:r>
        <w:r>
          <w:t>865</w:t>
        </w:r>
        <w:r>
          <w:fldChar w:fldCharType="end"/>
        </w:r>
      </w:hyperlink>
    </w:p>
    <w:p>
      <w:pPr>
        <w:pStyle w:val="TOC2"/>
        <w:rPr>
          <w:rFonts w:ascii="Calibri" w:hAnsi="Calibri"/>
          <w:noProof/>
          <w:sz w:val="22"/>
        </w:rPr>
      </w:pPr>
      <w:hyperlink w:anchor="_Toc256000235"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_Toc256000235 \h </w:instrText>
        </w:r>
        <w:r>
          <w:fldChar w:fldCharType="separate"/>
        </w:r>
        <w:r>
          <w:t>865</w:t>
        </w:r>
        <w:r>
          <w:fldChar w:fldCharType="end"/>
        </w:r>
      </w:hyperlink>
    </w:p>
    <w:p>
      <w:pPr>
        <w:pStyle w:val="TOC3"/>
        <w:rPr>
          <w:rFonts w:ascii="Calibri" w:hAnsi="Calibri"/>
          <w:noProof/>
          <w:sz w:val="22"/>
        </w:rPr>
      </w:pPr>
      <w:hyperlink w:anchor="_Toc256000236"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_Toc256000236 \h </w:instrText>
        </w:r>
        <w:r>
          <w:fldChar w:fldCharType="separate"/>
        </w:r>
        <w:r>
          <w:t>865</w:t>
        </w:r>
        <w:r>
          <w:fldChar w:fldCharType="end"/>
        </w:r>
      </w:hyperlink>
    </w:p>
    <w:p>
      <w:pPr>
        <w:pStyle w:val="TOC3"/>
        <w:rPr>
          <w:rFonts w:ascii="Calibri" w:hAnsi="Calibri"/>
          <w:noProof/>
          <w:sz w:val="22"/>
        </w:rPr>
      </w:pPr>
      <w:hyperlink w:anchor="_Toc256000237"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_Toc256000237 \h </w:instrText>
        </w:r>
        <w:r>
          <w:fldChar w:fldCharType="separate"/>
        </w:r>
        <w:r>
          <w:t>865</w:t>
        </w:r>
        <w:r>
          <w:fldChar w:fldCharType="end"/>
        </w:r>
      </w:hyperlink>
    </w:p>
    <w:p>
      <w:pPr>
        <w:pStyle w:val="TOC2"/>
        <w:rPr>
          <w:rFonts w:ascii="Calibri" w:hAnsi="Calibri"/>
          <w:noProof/>
          <w:sz w:val="22"/>
        </w:rPr>
      </w:pPr>
      <w:hyperlink w:anchor="_Toc256000238"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_Toc256000238 \h </w:instrText>
        </w:r>
        <w:r>
          <w:fldChar w:fldCharType="separate"/>
        </w:r>
        <w:r>
          <w:t>865</w:t>
        </w:r>
        <w:r>
          <w:fldChar w:fldCharType="end"/>
        </w:r>
      </w:hyperlink>
    </w:p>
    <w:p>
      <w:pPr>
        <w:pStyle w:val="TOC3"/>
        <w:rPr>
          <w:rFonts w:ascii="Calibri" w:hAnsi="Calibri"/>
          <w:noProof/>
          <w:sz w:val="22"/>
        </w:rPr>
      </w:pPr>
      <w:hyperlink w:anchor="_Toc256000239"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_Toc256000239 \h </w:instrText>
        </w:r>
        <w:r>
          <w:fldChar w:fldCharType="separate"/>
        </w:r>
        <w:r>
          <w:t>865</w:t>
        </w:r>
        <w:r>
          <w:fldChar w:fldCharType="end"/>
        </w:r>
      </w:hyperlink>
    </w:p>
    <w:p>
      <w:pPr>
        <w:pStyle w:val="TOC3"/>
        <w:rPr>
          <w:rFonts w:ascii="Calibri" w:hAnsi="Calibri"/>
          <w:noProof/>
          <w:sz w:val="22"/>
        </w:rPr>
      </w:pPr>
      <w:hyperlink w:anchor="_Toc256000240"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_Toc256000240 \h </w:instrText>
        </w:r>
        <w:r>
          <w:fldChar w:fldCharType="separate"/>
        </w:r>
        <w:r>
          <w:t>865</w:t>
        </w:r>
        <w:r>
          <w:fldChar w:fldCharType="end"/>
        </w:r>
      </w:hyperlink>
    </w:p>
    <w:p>
      <w:pPr>
        <w:pStyle w:val="TOC2"/>
        <w:rPr>
          <w:rFonts w:ascii="Calibri" w:hAnsi="Calibri"/>
          <w:noProof/>
          <w:sz w:val="22"/>
        </w:rPr>
      </w:pPr>
      <w:hyperlink w:anchor="_Toc256000241"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_Toc256000241 \h </w:instrText>
        </w:r>
        <w:r>
          <w:fldChar w:fldCharType="separate"/>
        </w:r>
        <w:r>
          <w:t>866</w:t>
        </w:r>
        <w:r>
          <w:fldChar w:fldCharType="end"/>
        </w:r>
      </w:hyperlink>
    </w:p>
    <w:p>
      <w:pPr>
        <w:pStyle w:val="TOC3"/>
        <w:rPr>
          <w:rFonts w:ascii="Calibri" w:hAnsi="Calibri"/>
          <w:noProof/>
          <w:sz w:val="22"/>
        </w:rPr>
      </w:pPr>
      <w:hyperlink w:anchor="_Toc256000242"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_Toc256000242 \h </w:instrText>
        </w:r>
        <w:r>
          <w:fldChar w:fldCharType="separate"/>
        </w:r>
        <w:r>
          <w:t>866</w:t>
        </w:r>
        <w:r>
          <w:fldChar w:fldCharType="end"/>
        </w:r>
      </w:hyperlink>
    </w:p>
    <w:p>
      <w:pPr>
        <w:pStyle w:val="TOC3"/>
        <w:rPr>
          <w:rFonts w:ascii="Calibri" w:hAnsi="Calibri"/>
          <w:noProof/>
          <w:sz w:val="22"/>
        </w:rPr>
      </w:pPr>
      <w:hyperlink w:anchor="_Toc256000243"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_Toc256000243 \h </w:instrText>
        </w:r>
        <w:r>
          <w:fldChar w:fldCharType="separate"/>
        </w:r>
        <w:r>
          <w:t>866</w:t>
        </w:r>
        <w:r>
          <w:fldChar w:fldCharType="end"/>
        </w:r>
      </w:hyperlink>
    </w:p>
    <w:p>
      <w:pPr>
        <w:pStyle w:val="TOC2"/>
        <w:rPr>
          <w:rFonts w:ascii="Calibri" w:hAnsi="Calibri"/>
          <w:noProof/>
          <w:sz w:val="22"/>
        </w:rPr>
      </w:pPr>
      <w:hyperlink w:anchor="_Toc256000244"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_Toc256000244 \h </w:instrText>
        </w:r>
        <w:r>
          <w:fldChar w:fldCharType="separate"/>
        </w:r>
        <w:r>
          <w:t>866</w:t>
        </w:r>
        <w:r>
          <w:fldChar w:fldCharType="end"/>
        </w:r>
      </w:hyperlink>
    </w:p>
    <w:p>
      <w:pPr>
        <w:pStyle w:val="TOC3"/>
        <w:rPr>
          <w:rFonts w:ascii="Calibri" w:hAnsi="Calibri"/>
          <w:noProof/>
          <w:sz w:val="22"/>
        </w:rPr>
      </w:pPr>
      <w:hyperlink w:anchor="_Toc256000245"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_Toc256000245 \h </w:instrText>
        </w:r>
        <w:r>
          <w:fldChar w:fldCharType="separate"/>
        </w:r>
        <w:r>
          <w:t>866</w:t>
        </w:r>
        <w:r>
          <w:fldChar w:fldCharType="end"/>
        </w:r>
      </w:hyperlink>
    </w:p>
    <w:p>
      <w:pPr>
        <w:pStyle w:val="TOC3"/>
        <w:rPr>
          <w:rFonts w:ascii="Calibri" w:hAnsi="Calibri"/>
          <w:noProof/>
          <w:sz w:val="22"/>
        </w:rPr>
      </w:pPr>
      <w:hyperlink w:anchor="_Toc256000246"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_Toc256000246 \h </w:instrText>
        </w:r>
        <w:r>
          <w:fldChar w:fldCharType="separate"/>
        </w:r>
        <w:r>
          <w:t>866</w:t>
        </w:r>
        <w:r>
          <w:fldChar w:fldCharType="end"/>
        </w:r>
      </w:hyperlink>
    </w:p>
    <w:p>
      <w:pPr>
        <w:pStyle w:val="TOC2"/>
        <w:rPr>
          <w:rFonts w:ascii="Calibri" w:hAnsi="Calibri"/>
          <w:noProof/>
          <w:sz w:val="22"/>
        </w:rPr>
      </w:pPr>
      <w:hyperlink w:anchor="_Toc256000247"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_Toc256000247 \h </w:instrText>
        </w:r>
        <w:r>
          <w:fldChar w:fldCharType="separate"/>
        </w:r>
        <w:r>
          <w:t>867</w:t>
        </w:r>
        <w:r>
          <w:fldChar w:fldCharType="end"/>
        </w:r>
      </w:hyperlink>
    </w:p>
    <w:p>
      <w:pPr>
        <w:pStyle w:val="TOC3"/>
        <w:rPr>
          <w:rFonts w:ascii="Calibri" w:hAnsi="Calibri"/>
          <w:noProof/>
          <w:sz w:val="22"/>
        </w:rPr>
      </w:pPr>
      <w:hyperlink w:anchor="_Toc256000248"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_Toc256000248 \h </w:instrText>
        </w:r>
        <w:r>
          <w:fldChar w:fldCharType="separate"/>
        </w:r>
        <w:r>
          <w:t>867</w:t>
        </w:r>
        <w:r>
          <w:fldChar w:fldCharType="end"/>
        </w:r>
      </w:hyperlink>
    </w:p>
    <w:p>
      <w:pPr>
        <w:pStyle w:val="TOC3"/>
        <w:rPr>
          <w:rFonts w:ascii="Calibri" w:hAnsi="Calibri"/>
          <w:noProof/>
          <w:sz w:val="22"/>
        </w:rPr>
      </w:pPr>
      <w:hyperlink w:anchor="_Toc256000249"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_Toc256000249 \h </w:instrText>
        </w:r>
        <w:r>
          <w:fldChar w:fldCharType="separate"/>
        </w:r>
        <w:r>
          <w:t>867</w:t>
        </w:r>
        <w:r>
          <w:fldChar w:fldCharType="end"/>
        </w:r>
      </w:hyperlink>
    </w:p>
    <w:p>
      <w:pPr>
        <w:pStyle w:val="TOC2"/>
        <w:rPr>
          <w:rFonts w:ascii="Calibri" w:hAnsi="Calibri"/>
          <w:noProof/>
          <w:sz w:val="22"/>
        </w:rPr>
      </w:pPr>
      <w:hyperlink w:anchor="_Toc256000250"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_Toc256000250 \h </w:instrText>
        </w:r>
        <w:r>
          <w:fldChar w:fldCharType="separate"/>
        </w:r>
        <w:r>
          <w:t>867</w:t>
        </w:r>
        <w:r>
          <w:fldChar w:fldCharType="end"/>
        </w:r>
      </w:hyperlink>
    </w:p>
    <w:p>
      <w:pPr>
        <w:pStyle w:val="TOC3"/>
        <w:rPr>
          <w:rFonts w:ascii="Calibri" w:hAnsi="Calibri"/>
          <w:noProof/>
          <w:sz w:val="22"/>
        </w:rPr>
      </w:pPr>
      <w:hyperlink w:anchor="_Toc256000251"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_Toc256000251 \h </w:instrText>
        </w:r>
        <w:r>
          <w:fldChar w:fldCharType="separate"/>
        </w:r>
        <w:r>
          <w:t>867</w:t>
        </w:r>
        <w:r>
          <w:fldChar w:fldCharType="end"/>
        </w:r>
      </w:hyperlink>
    </w:p>
    <w:p>
      <w:pPr>
        <w:pStyle w:val="TOC3"/>
        <w:rPr>
          <w:rFonts w:ascii="Calibri" w:hAnsi="Calibri"/>
          <w:noProof/>
          <w:sz w:val="22"/>
        </w:rPr>
      </w:pPr>
      <w:hyperlink w:anchor="_Toc256000252"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_Toc256000252 \h </w:instrText>
        </w:r>
        <w:r>
          <w:fldChar w:fldCharType="separate"/>
        </w:r>
        <w:r>
          <w:t>867</w:t>
        </w:r>
        <w:r>
          <w:fldChar w:fldCharType="end"/>
        </w:r>
      </w:hyperlink>
    </w:p>
    <w:p>
      <w:pPr>
        <w:pStyle w:val="TOC2"/>
        <w:rPr>
          <w:rFonts w:ascii="Calibri" w:hAnsi="Calibri"/>
          <w:noProof/>
          <w:sz w:val="22"/>
        </w:rPr>
      </w:pPr>
      <w:hyperlink w:anchor="_Toc256000253"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_Toc256000253 \h </w:instrText>
        </w:r>
        <w:r>
          <w:fldChar w:fldCharType="separate"/>
        </w:r>
        <w:r>
          <w:t>867</w:t>
        </w:r>
        <w:r>
          <w:fldChar w:fldCharType="end"/>
        </w:r>
      </w:hyperlink>
    </w:p>
    <w:p>
      <w:pPr>
        <w:pStyle w:val="TOC1"/>
        <w:rPr>
          <w:rFonts w:ascii="Calibri" w:hAnsi="Calibri"/>
          <w:noProof/>
          <w:sz w:val="22"/>
        </w:rPr>
      </w:pPr>
      <w:hyperlink w:anchor="_Toc256000254"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_Toc256000254 \h </w:instrText>
        </w:r>
        <w:r>
          <w:fldChar w:fldCharType="separate"/>
        </w:r>
        <w:r>
          <w:t>871</w:t>
        </w:r>
        <w:r>
          <w:fldChar w:fldCharType="end"/>
        </w:r>
      </w:hyperlink>
    </w:p>
    <w:p>
      <w:pPr>
        <w:pStyle w:val="TOC2"/>
        <w:rPr>
          <w:rFonts w:ascii="Calibri" w:hAnsi="Calibri"/>
          <w:noProof/>
          <w:sz w:val="22"/>
        </w:rPr>
      </w:pPr>
      <w:hyperlink w:anchor="_Toc256000255"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_Toc256000255 \h </w:instrText>
        </w:r>
        <w:r>
          <w:fldChar w:fldCharType="separate"/>
        </w:r>
        <w:r>
          <w:t>871</w:t>
        </w:r>
        <w:r>
          <w:fldChar w:fldCharType="end"/>
        </w:r>
      </w:hyperlink>
    </w:p>
    <w:p>
      <w:pPr>
        <w:pStyle w:val="TOC2"/>
        <w:rPr>
          <w:rFonts w:ascii="Calibri" w:hAnsi="Calibri"/>
          <w:noProof/>
          <w:sz w:val="22"/>
        </w:rPr>
      </w:pPr>
      <w:hyperlink w:anchor="_Toc256000256"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_Toc256000256 \h </w:instrText>
        </w:r>
        <w:r>
          <w:fldChar w:fldCharType="separate"/>
        </w:r>
        <w:r>
          <w:t>871</w:t>
        </w:r>
        <w:r>
          <w:fldChar w:fldCharType="end"/>
        </w:r>
      </w:hyperlink>
    </w:p>
    <w:p>
      <w:pPr>
        <w:pStyle w:val="TOC2"/>
        <w:rPr>
          <w:rFonts w:ascii="Calibri" w:hAnsi="Calibri"/>
          <w:noProof/>
          <w:sz w:val="22"/>
        </w:rPr>
      </w:pPr>
      <w:hyperlink w:anchor="_Toc256000257"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_Toc256000257 \h </w:instrText>
        </w:r>
        <w:r>
          <w:fldChar w:fldCharType="separate"/>
        </w:r>
        <w:r>
          <w:t>873</w:t>
        </w:r>
        <w:r>
          <w:fldChar w:fldCharType="end"/>
        </w:r>
      </w:hyperlink>
    </w:p>
    <w:p>
      <w:pPr>
        <w:pStyle w:val="TOC2"/>
        <w:rPr>
          <w:rFonts w:ascii="Calibri" w:hAnsi="Calibri"/>
          <w:noProof/>
          <w:sz w:val="22"/>
        </w:rPr>
      </w:pPr>
      <w:hyperlink w:anchor="_Toc256000258"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_Toc256000258 \h </w:instrText>
        </w:r>
        <w:r>
          <w:fldChar w:fldCharType="separate"/>
        </w:r>
        <w:r>
          <w:t>879</w:t>
        </w:r>
        <w:r>
          <w:fldChar w:fldCharType="end"/>
        </w:r>
      </w:hyperlink>
    </w:p>
    <w:p>
      <w:pPr>
        <w:pStyle w:val="TOC1"/>
        <w:rPr>
          <w:rFonts w:ascii="Calibri" w:hAnsi="Calibri"/>
          <w:noProof/>
          <w:sz w:val="22"/>
        </w:rPr>
      </w:pPr>
      <w:hyperlink w:anchor="_Toc256000259"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_Toc256000259 \h </w:instrText>
        </w:r>
        <w:r>
          <w:fldChar w:fldCharType="separate"/>
        </w:r>
        <w:r>
          <w:t>880</w:t>
        </w:r>
        <w:r>
          <w:fldChar w:fldCharType="end"/>
        </w:r>
      </w:hyperlink>
    </w:p>
    <w:p>
      <w:pPr>
        <w:pStyle w:val="TOC2"/>
        <w:rPr>
          <w:rFonts w:ascii="Calibri" w:hAnsi="Calibri"/>
          <w:noProof/>
          <w:sz w:val="22"/>
        </w:rPr>
      </w:pPr>
      <w:hyperlink w:anchor="_Toc256000260"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_Toc256000260 \h </w:instrText>
        </w:r>
        <w:r>
          <w:fldChar w:fldCharType="separate"/>
        </w:r>
        <w:r>
          <w:t>880</w:t>
        </w:r>
        <w:r>
          <w:fldChar w:fldCharType="end"/>
        </w:r>
      </w:hyperlink>
    </w:p>
    <w:p>
      <w:pPr>
        <w:pStyle w:val="TOC2"/>
        <w:rPr>
          <w:rFonts w:ascii="Calibri" w:hAnsi="Calibri"/>
          <w:noProof/>
          <w:sz w:val="22"/>
        </w:rPr>
      </w:pPr>
      <w:hyperlink w:anchor="_Toc256000261"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_Toc256000261 \h </w:instrText>
        </w:r>
        <w:r>
          <w:fldChar w:fldCharType="separate"/>
        </w:r>
        <w:r>
          <w:t>881</w:t>
        </w:r>
        <w:r>
          <w:fldChar w:fldCharType="end"/>
        </w:r>
      </w:hyperlink>
    </w:p>
    <w:p>
      <w:pPr>
        <w:pStyle w:val="TOC1"/>
        <w:rPr>
          <w:rFonts w:ascii="Calibri" w:hAnsi="Calibri"/>
          <w:noProof/>
          <w:sz w:val="22"/>
        </w:rPr>
      </w:pPr>
      <w:hyperlink w:anchor="_Toc256000262"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_Toc256000262 \h </w:instrText>
        </w:r>
        <w:r>
          <w:fldChar w:fldCharType="separate"/>
        </w:r>
        <w:r>
          <w:t>884</w:t>
        </w:r>
        <w:r>
          <w:fldChar w:fldCharType="end"/>
        </w:r>
      </w:hyperlink>
    </w:p>
    <w:p>
      <w:pPr>
        <w:pStyle w:val="TOC2"/>
        <w:rPr>
          <w:rFonts w:ascii="Calibri" w:hAnsi="Calibri"/>
          <w:noProof/>
          <w:sz w:val="22"/>
        </w:rPr>
      </w:pPr>
      <w:hyperlink w:anchor="_Toc256000263"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_Toc256000263 \h </w:instrText>
        </w:r>
        <w:r>
          <w:fldChar w:fldCharType="separate"/>
        </w:r>
        <w:r>
          <w:t>884</w:t>
        </w:r>
        <w:r>
          <w:fldChar w:fldCharType="end"/>
        </w:r>
      </w:hyperlink>
    </w:p>
    <w:p>
      <w:pPr>
        <w:pStyle w:val="TOC2"/>
        <w:rPr>
          <w:rFonts w:ascii="Calibri" w:hAnsi="Calibri"/>
          <w:noProof/>
          <w:sz w:val="22"/>
        </w:rPr>
      </w:pPr>
      <w:hyperlink w:anchor="_Toc256000264"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_Toc256000264 \h </w:instrText>
        </w:r>
        <w:r>
          <w:fldChar w:fldCharType="separate"/>
        </w:r>
        <w:r>
          <w:t>886</w:t>
        </w:r>
        <w:r>
          <w:fldChar w:fldCharType="end"/>
        </w:r>
      </w:hyperlink>
    </w:p>
    <w:p>
      <w:pPr>
        <w:pStyle w:val="TOC1"/>
        <w:rPr>
          <w:rFonts w:ascii="Calibri" w:hAnsi="Calibri"/>
          <w:noProof/>
          <w:sz w:val="22"/>
        </w:rPr>
      </w:pPr>
      <w:hyperlink w:anchor="_Toc256000265"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_Toc256000265 \h </w:instrText>
        </w:r>
        <w:r>
          <w:fldChar w:fldCharType="separate"/>
        </w:r>
        <w:r>
          <w:t>888</w:t>
        </w:r>
        <w:r>
          <w:fldChar w:fldCharType="end"/>
        </w:r>
      </w:hyperlink>
    </w:p>
    <w:p>
      <w:pPr>
        <w:pStyle w:val="TOC2"/>
        <w:rPr>
          <w:rFonts w:ascii="Calibri" w:hAnsi="Calibri"/>
          <w:noProof/>
          <w:sz w:val="22"/>
        </w:rPr>
      </w:pPr>
      <w:hyperlink w:anchor="_Toc256000266" w:history="1">
        <w:r>
          <w:rPr>
            <w:rStyle w:val="Hyperlink"/>
          </w:rPr>
          <w:t>Документи</w:t>
        </w:r>
        <w:r>
          <w:tab/>
        </w:r>
        <w:r>
          <w:fldChar w:fldCharType="begin"/>
        </w:r>
        <w:r>
          <w:instrText xml:space="preserve"> PAGEREF _Toc256000266 \h </w:instrText>
        </w:r>
        <w:r>
          <w:fldChar w:fldCharType="separate"/>
        </w:r>
        <w:r>
          <w:t>889</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г. Решение по член 11, буква б), втора алинея</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31-03-2022</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Предвид Закона за изменение и допълнение на Закона за мерките и действията по време на извънредното положение и за преодоляване на последиците, приет от 44-то Народно събрание на 6 ноември 2020 г., публикуван в Държавен вестник брой 98 на 17.11.2020 г. и удължената епидемична обстановка в страната, Управляващият орган (УО) на Програмата за развитие на селските райони 2014-2020 г. (ПРСР 2014-2020 г.) счете, че свикването на присъствено заседание на Комитета за наблюдение на ПРСР 2014-2020 г. на този етап от развитието на епидемията е необосновано. Поради това, в периода </w:t>
            </w:r>
            <w:r>
              <w:rPr>
                <w:rFonts w:ascii="Times New Roman" w:eastAsia="Times New Roman" w:hAnsi="Times New Roman" w:cs="Times New Roman"/>
                <w:b/>
                <w:bCs/>
                <w:szCs w:val="24"/>
              </w:rPr>
              <w:t xml:space="preserve">17-24.02.2022 </w:t>
            </w:r>
            <w:r>
              <w:rPr>
                <w:rFonts w:ascii="Times New Roman" w:eastAsia="Times New Roman" w:hAnsi="Times New Roman" w:cs="Times New Roman"/>
                <w:szCs w:val="24"/>
              </w:rPr>
              <w:t>г. (впоследствие удължена до 04.03.2022 г., и допълнена с писмена процедура до 31.03.2022 г.) се проведе писмена съгласувателна процедура на Комитета за наблюдение на ПРСР 2014-2020 г. за разглеждане и одобрение на:</w:t>
            </w:r>
          </w:p>
          <w:p>
            <w:pPr>
              <w:numPr>
                <w:ilvl w:val="0"/>
                <w:numId w:val="2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Предложение на УО на ПРСР 2014-2020 г. за 12-то изменение на Програмата за развитие на селските райони 2014-2020 г. и даване на мандат на Управляващия орган да го представи на Европейската комисия, а именно: </w:t>
            </w:r>
          </w:p>
          <w:p>
            <w:pPr>
              <w:numPr>
                <w:ilvl w:val="1"/>
                <w:numId w:val="21"/>
              </w:numPr>
              <w:spacing w:before="0" w:after="0"/>
              <w:ind w:left="144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 на УО за изменение в текста на мярка 10 „Агроекология и климат“.</w:t>
            </w:r>
          </w:p>
          <w:p>
            <w:pPr>
              <w:numPr>
                <w:ilvl w:val="1"/>
                <w:numId w:val="21"/>
              </w:numPr>
              <w:spacing w:before="0" w:after="0"/>
              <w:ind w:left="144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 на УО за изменение в текста на мярка 11 „Биологично земеделие“.</w:t>
            </w:r>
          </w:p>
          <w:p>
            <w:pPr>
              <w:numPr>
                <w:ilvl w:val="1"/>
                <w:numId w:val="21"/>
              </w:numPr>
              <w:spacing w:before="0" w:after="0"/>
              <w:ind w:left="144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 на УО за изменение в текста на мярка 12 „Плащания по „Натура 2000“ и Рамковата директива за водите“ и Методология за допълнително изчисляване на компенсаторните плащания по мярката.</w:t>
            </w:r>
          </w:p>
          <w:p>
            <w:pPr>
              <w:numPr>
                <w:ilvl w:val="0"/>
                <w:numId w:val="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 на УО за актуализиране на критериите по подмярка 19.1 „Помощ за подготвителни дейности".</w:t>
            </w:r>
          </w:p>
          <w:p>
            <w:pPr>
              <w:numPr>
                <w:ilvl w:val="0"/>
                <w:numId w:val="2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Приемане на протокола от 17 заседание на КН на ПРСР 2014.2020 г., провело се чрез видеоконферентна връзка на 19.11.2021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основание горното и в съответствие с чл. 22, ал. 4 от Вътрешните правила за работа на КН на ПРСР 2014-2020 г., като резултат от проведената писмена процедура Комитетът за наблюдение на ПРСР 2014-2020 г. взе следните </w:t>
            </w:r>
            <w:r>
              <w:rPr>
                <w:rFonts w:ascii="Times New Roman" w:eastAsia="Times New Roman" w:hAnsi="Times New Roman" w:cs="Times New Roman"/>
                <w:b/>
                <w:bCs/>
                <w:szCs w:val="24"/>
              </w:rPr>
              <w:t>РЕШЕНИЯ: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Решение по т. 1: </w:t>
            </w:r>
            <w:r>
              <w:rPr>
                <w:rFonts w:ascii="Times New Roman" w:eastAsia="Times New Roman" w:hAnsi="Times New Roman" w:cs="Times New Roman"/>
                <w:i/>
                <w:iCs/>
                <w:szCs w:val="24"/>
              </w:rPr>
              <w:t>Комитетът за наблюдение на ПРСР 2014-2020 г. одобрява предложението за 12 изменение на Програмата за развитие на селските райони 2014-2020 г. и упълномощава Управляващия орган на ПРСР 2014-2020 г. да го изпрати официално (чрез SFC) на Европейската комисия. КН дава мандат на УО да договори окончателния вариант на промените в преговорния процес с Европейската комисия като:</w:t>
            </w:r>
          </w:p>
          <w:p>
            <w:pPr>
              <w:numPr>
                <w:ilvl w:val="0"/>
                <w:numId w:val="2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i/>
                <w:iCs/>
                <w:szCs w:val="24"/>
              </w:rPr>
              <w:t>КН на ПРСР 2014-2020 одобрява предложението на УО за промяна в текста на мярка 10 „Агроекология и климат ".</w:t>
            </w:r>
          </w:p>
          <w:p>
            <w:pPr>
              <w:numPr>
                <w:ilvl w:val="0"/>
                <w:numId w:val="2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i/>
                <w:iCs/>
                <w:szCs w:val="24"/>
              </w:rPr>
              <w:t>КН на ПРСР 2014-2020 одобрява актуализираното предложение на УО за промяна в текста на мярка 11 „Биологично земеделие".</w:t>
            </w:r>
          </w:p>
          <w:p>
            <w:pPr>
              <w:numPr>
                <w:ilvl w:val="0"/>
                <w:numId w:val="2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i/>
                <w:iCs/>
                <w:szCs w:val="24"/>
              </w:rPr>
              <w:t>КН на ПРСР 2014-2020 одобрява предложението на УО за промяна в текста на мярка 12 „Плащания по „Натура 2000" и Рамковата директива за водите" и Методология за допълнително изчисляване на компенсаторните плащания по мярката.</w:t>
            </w:r>
          </w:p>
          <w:p>
            <w:pPr>
              <w:numPr>
                <w:ilvl w:val="0"/>
                <w:numId w:val="2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i/>
                <w:iCs/>
                <w:szCs w:val="24"/>
              </w:rPr>
              <w:t>КН на ПРСР 2014-2020 одобрява предложението на УО за промяна в текста на мярка 20 „ Техническа помощ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Решение по т. 2: </w:t>
            </w:r>
            <w:r>
              <w:rPr>
                <w:rFonts w:ascii="Times New Roman" w:eastAsia="Times New Roman" w:hAnsi="Times New Roman" w:cs="Times New Roman"/>
                <w:i/>
                <w:iCs/>
                <w:szCs w:val="24"/>
              </w:rPr>
              <w:t>КН на ПРСР 2014-2020 г. одобрява предложението на УО за актуализиране на критериите по подмярка 19.1 „Помощ за подготвителни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Решение по т. 3: </w:t>
            </w:r>
            <w:r>
              <w:rPr>
                <w:rFonts w:ascii="Times New Roman" w:eastAsia="Times New Roman" w:hAnsi="Times New Roman" w:cs="Times New Roman"/>
                <w:i/>
                <w:iCs/>
                <w:szCs w:val="24"/>
              </w:rPr>
              <w:t>КН на ПРСР 2014-2020 г. одобрява протокола от 17 заседание на КН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Решение по т. 4: </w:t>
            </w:r>
            <w:r>
              <w:rPr>
                <w:rFonts w:ascii="Times New Roman" w:eastAsia="Times New Roman" w:hAnsi="Times New Roman" w:cs="Times New Roman"/>
                <w:i/>
                <w:iCs/>
                <w:szCs w:val="24"/>
              </w:rPr>
              <w:t>КН на ПРСР 2014-2020 г. приема за сведение информацията за •извършена оценка на подхода Водено от общностите местно развитие.</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Дванадесето изменение на ПРСР 2014-2020 г.</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предложението за </w:t>
            </w:r>
            <w:r>
              <w:rPr>
                <w:rFonts w:ascii="Times New Roman" w:eastAsia="Times New Roman" w:hAnsi="Times New Roman" w:cs="Times New Roman"/>
                <w:b/>
                <w:bCs/>
                <w:szCs w:val="24"/>
              </w:rPr>
              <w:t xml:space="preserve">Дванадесето изменение на ПРСР 2014 </w:t>
            </w:r>
            <w:r>
              <w:rPr>
                <w:rFonts w:ascii="Times New Roman" w:eastAsia="Times New Roman" w:hAnsi="Times New Roman" w:cs="Times New Roman"/>
                <w:szCs w:val="24"/>
              </w:rPr>
              <w:t>–</w:t>
            </w:r>
            <w:r>
              <w:rPr>
                <w:rFonts w:ascii="Times New Roman" w:eastAsia="Times New Roman" w:hAnsi="Times New Roman" w:cs="Times New Roman"/>
                <w:b/>
                <w:bCs/>
                <w:szCs w:val="24"/>
              </w:rPr>
              <w:t xml:space="preserve"> 2020 г.</w:t>
            </w:r>
            <w:r>
              <w:rPr>
                <w:rFonts w:ascii="Times New Roman" w:eastAsia="Times New Roman" w:hAnsi="Times New Roman" w:cs="Times New Roman"/>
                <w:szCs w:val="24"/>
              </w:rPr>
              <w:t xml:space="preserve"> се изменят частично текстове по мярка 10 „Агроекология и климат“, мярка 11 „Биологично земеделие“, мярка 12 „Плащания по „Натура 2000“ и Рамковата директива за водите“, подмярка 19.1. „Помощ за подготвителни дейности“ от мярка 19 „Водено от общностите местно развитие“ (ВОМР) и мярка 20 „Техническа помощ“, с цел да бъде осигурена предвидимост по отношение на поети ангажименти от страна на бенефициентите по програмата, чието изпълнение продължава след края на настоящия програмен период и тяхното приспособяване към правната рамка на следващия програмен период,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чл. 48 от Регламент (ЕС) № 1305/2013 на Европейския парламент и Съвета относно подпомагане на селските райони от Европейският земеделски фонд за развитие на селските райони, текстовете на раздел „Условия за допустимост“ на всички направления по мярка 10 „Агроекология и климат“, които се очаква да бъдат отворени през кампания 2023, са допълнени с нов текст относно клауза за преразглеждане, във връзка с възможността земеделските стопани да се приспособят към правната рамка на следващия програмен период. В съответствие с чл. 28, параграф 5 от Регламент (ЕС) № 1305/2013 и член 7, параграф 2 от Регламент (ЕС) 2020/2220 на Европейския парламент и Съвета, се допуска поемането на нови ангажименти по мярка 10 „Агроекология и климат“ с по – кратък период на действие. В тази връзка,  се предлага новите ангажименти по направление „Възстановяване и поддържане на земите с висока природна стойност (ВПС 1) да се изпълняват за срок от три година. Ангажиментите по направление „Контрол на почвена ерозия“ от 2022 година да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Относно направление „Традиционни практики за сезонна паша (пасторализъм)“ се предвижда възможността от поемане на едногодишни ангажименти. Правят се пояснения и допълнения на правилата за допускане на животни, като земеделските стопани не извеждат по–голям брой от определените в разрешените за паша. Добавя се текст „В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  „Опазване на застрашени от изчезване местни породи, важни за селското стопанство“ и направление „Опазване на застрашени от изчезване местни сортове, важни за селското стопанство“ се определя продължителност на нови  ангажименти от 2022 г., със срок три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 цел спазване на ангажименти към земеделските производители, които имат желание да се занимават с биологично земеделие, в мярка 11 „Биологично земеделие“,  подмярка 11.1 „Плащания за преминаване към практики и методи за биологично земеделие“, се добавя нов текст, с който се позволява да се поемат нови ангажименти с по-кратка продължителност до 3 г. включително. По този начин ще могат да се подпомогнат земеделски стопани, които отглеждат земеделски култури с по-дълъг период на преход. Също така ще се минимизира риска от провалени ангажименти и възстановяване на средства от бенефициентите в случай, че няма да могат да докажат произведена биологична продукция до края на втората година от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 оглед по-голяма яснота за кандидатите по подмярката и във връзка с влязъл в сила от 01.01.2022 г. Регламент (ЕС) № 2018/848 на Европейския парламент и на Съвета от 30 май 2018 година относно биологичното производство и етикетирането на биологични продукти и за отмяна на Регламент (ЕО) № 834/2007 на Съвета (ОВ, L 150/1 от 2018 г.), се правят редакционни промени в текстовете, в които е цитиран Регламент 834/2008, като се добавя и наименованието на новият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подмярка 11.2. „Плащания за биологично земеделие“ се предлагат промени, с който се позволява поемането на нови ангажименти по подмярката с продължителност 1 г., в съответствие с приетото законодателство за периода 2021-2022 г. По този начин се цели да се постигне плавен преход между двата програмни периода за стопаните, чиито площи са биологично сертифицирани.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 мярка  11.2. „Плащания за биологично земеделие“ се правят редакционни промени във връзка с влязъл в сила от 01.01.2022 г. Регламент (ЕС) № 2018/848 на Европейския парламент и на Съвета от 30 май 2018 година относно биологичното производство и етикетирането на биологични продукти и за отмяна на Регламент (ЕО) № 834/2007 на Съвета (ОВ, L 150/1), относно цитирането на акта. Извършена е и редакционна промяна с която се указва, че 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устойчиво увеличаване на площите, които се поддържат по методите на биологичното земеделие, се правят промени, даващи възможност на бенефициентите по мярката, изпълняващи пет годишни ангажименти, да увеличат одобрените за участие площи, като разширят ангажиментите си с до 20%, но не повече от 10 ха, както с биологични площи, така и с площи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дава възможност на земеделски стопани, които до момента са изпълнявали ангажименти по мярка 11 „Биологично земеделие“ да поемат нови такива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Допълнен е текстът на мярка 12 „Плащания по „Натура 2000“ и Рамковата директива за водите“, във връзка с изменени и допълнени пред 2021 г. заповеди за обявяване на защитени зони по Директива 2009/147/ЕО на Европейския парламент и на Съвета от 30 ноември 2009 година относно опазването на дивите птици и публикувани и обнародвани 149 нови заповеди по Директива № 92/43/ЕИО на Съвета за опазване на естествените местообитания и на дивата флора и фауна. Правят се допълнения, съгласно които се добавя текст, с който се уточнява, че от страна на МОСВ са публикувани и обнародвани нови 149 заповеди за природните местообитания. Същата информация е отразена и в подмярка 12.1 „Компенсаторни плащания за земеделски площи в Натура 2000 за земеделски земи“.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текстовете на подмярка 12.1. „Компенсаторни плащания за земеделски площи в Натура 2000 за земеделски земи“ се правят промени, които реферират към приложенията на ПРСР 2014-2020. Предложените изменения са по отношение на включване на Приложение № 13Б - таблица с компенсаторни плащания по зоните за птиците и местообитания и видове ограничения, в което приложение са отразени нивата на подпомагане по мярката. Добавя се текст по отношение на 1 бр. нова забрана, съгласно Директива 2009/147/ЕО на Европейския парламент и на Съвета от 30 ноември 2009 година относно опазването на дивите птици и Директива № 92/43/ЕИО на Съвета за опазване на естествените местообитания и на дивата флора и фауна, която е взета предвид при изчисляването на компенсаторните плащания за конкретната зона. В нотификацията са включени само тези защитени зони за местообитанията, за които има издадени и обнародвани в Държавен вестник“ заповеди за обявяването им, в срок не по-късно от 1 януари на годината на кандидатстване за подпомагане.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гореизложеното, са извършени и изменения в Приложение № 10 от ПРСР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Изменен е текстът на подмярка 19.1. „Помощ за подготвителни дейности“ от мярка 19 „Водено от общностите местно развитие“ (ВОМР) по отношение на максималния срок за изпълнение на малки пилотни проекти, който се увеличава на дванадесет месеца. Изменението е продиктувано от настъпилата епидемиологична ситуация в страната, включително от предходно изменение за увеличаване на  максималния размер на проектите от 15 000 евро на 100 000 евро, което налага провеждане на процедури по Закона за обществените поръчки, изискващо по-продължителен период за изпълнение на поетия ангажимент. Изменението е предварително съгласувано с органите на Европейската комисия и представлява техническо изменение на ПРСР 2014 – 2020 г., на основание чл. 11, параграф в) от Регламент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Изменен е текстът на подмярка 2.1.1. „Консултантски услуги за земеделски и горски стопани“ от мярка 2 „Консултантски услуги, услуги по управление на стопанство и услуги по заместване в стопанство“ от ПРСР 2014-2020 г. За да бъде  осигурена възможност за изготвяне на безплатни проекти за млади фермери в рамките на предстоящия прием  по подмярка 6.1 „Стартова помощ за млади земеделски производители“ през есента на 2022 г. в текста на подмярката се посочва, че помощта за пакет А2Б се определя като стандартен разход с размер на сумата 814 евро за консултантския пакет за целия периода на прилагане на ПРСР 2014-2020 г. По този начин стойността на този консултантски пакет ще бъде приложим за всички допустими консултантски организации по подмярка 2.1.1. „Консултантски услуги за земеделски и горски стопани“, в т.ч. публични и частни организации.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Изменен е текстът на мярка 20 „Техническа помощ“, с което се цели постигане на по-широко прилагане на дейностите от мярката като цяло и конкретно в частта на дейностите, свързани с подготовката на следващия програмен период. На основание активното взаимодействие на Управляващия орган на ПРСР 2014 – 2020 г. с редица звена в Министерство на земеделието, във връзка с подготовката на Стратегическия план за развитие на земеделието и селските райони за периода 2023 – 2027 г., се предвижда бенефициент по мярката да бъде Министерство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Предвидените промени в дванадесето изменение на ПРСР 2014 – 2020 г. са разгледани, съгласувани и одобрени от Комитета за наблюдение на Програмата за развитие на селските райони 2014 – 2020 г., чрез писмена съгласувателна процедура, проведена в периода 14 – 24.02.2022 г. и в процес на разглеждане, съгласуване и одобрение в рамките на писмена процедура, провеждана в периода 29-31.03.2022 г.</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решението ще се осигури предвидимост по отношение на поети ангажименти от земеделските стопани, чието изпълнение продължава след края на настоящия програмен период и ще се осигури приспособимост към правната рамка на следващия програмен период. Също така ще се гарантира балансирано и ефективно насочване на финансовия ресурс по мерките, насочени към опазването на околната среда и климата, чрез създаването на възможност за поемане на нови ангажименти през 2022 година и/или удължаване на ангажиментите, чието действие е приключило през 2021 година.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Отново ще бъде осигурена възможност за изготвяне на безплатни бизнес планове за млади фермери в рамките на предстоящия прием на проектни предложения по подмярка 6.1 „Стартова помощ за млади земеделски стопани“ през есента на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ще се осигури възможност за пълноценна адаптация на новите правила на програмен период 2023 – 2027 г., чрез включване на по-широк кръг от лица от администрацията в процесите, свързани със Стратегическия план за развитие на земеделието и селските райони.</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Предложението за </w:t>
            </w:r>
            <w:r>
              <w:rPr>
                <w:rFonts w:ascii="Times New Roman" w:eastAsia="Times New Roman" w:hAnsi="Times New Roman" w:cs="Times New Roman"/>
                <w:b/>
                <w:bCs/>
                <w:szCs w:val="24"/>
              </w:rPr>
              <w:t xml:space="preserve">Дванадесето изменение на ПРСР 2014 </w:t>
            </w:r>
            <w:r>
              <w:rPr>
                <w:rFonts w:ascii="Times New Roman" w:eastAsia="Times New Roman" w:hAnsi="Times New Roman" w:cs="Times New Roman"/>
                <w:szCs w:val="24"/>
              </w:rPr>
              <w:t>–</w:t>
            </w:r>
            <w:r>
              <w:rPr>
                <w:rFonts w:ascii="Times New Roman" w:eastAsia="Times New Roman" w:hAnsi="Times New Roman" w:cs="Times New Roman"/>
                <w:b/>
                <w:bCs/>
                <w:szCs w:val="24"/>
              </w:rPr>
              <w:t xml:space="preserve"> 2020 г.</w:t>
            </w:r>
            <w:r>
              <w:rPr>
                <w:rFonts w:ascii="Times New Roman" w:eastAsia="Times New Roman" w:hAnsi="Times New Roman" w:cs="Times New Roman"/>
                <w:szCs w:val="24"/>
              </w:rPr>
              <w:t> не влияе върху показателите.</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Предложението за </w:t>
            </w:r>
            <w:r>
              <w:rPr>
                <w:rFonts w:ascii="Times New Roman" w:eastAsia="Times New Roman" w:hAnsi="Times New Roman" w:cs="Times New Roman"/>
                <w:b/>
                <w:bCs/>
                <w:szCs w:val="24"/>
              </w:rPr>
              <w:t xml:space="preserve">Дванадесето изменение на ПРСР 2014 </w:t>
            </w:r>
            <w:r>
              <w:rPr>
                <w:rFonts w:ascii="Times New Roman" w:eastAsia="Times New Roman" w:hAnsi="Times New Roman" w:cs="Times New Roman"/>
                <w:szCs w:val="24"/>
              </w:rPr>
              <w:t>–</w:t>
            </w:r>
            <w:r>
              <w:rPr>
                <w:rFonts w:ascii="Times New Roman" w:eastAsia="Times New Roman" w:hAnsi="Times New Roman" w:cs="Times New Roman"/>
                <w:b/>
                <w:bCs/>
                <w:szCs w:val="24"/>
              </w:rPr>
              <w:t xml:space="preserve"> 2020 г.</w:t>
            </w:r>
            <w:r>
              <w:rPr>
                <w:rFonts w:ascii="Times New Roman" w:eastAsia="Times New Roman" w:hAnsi="Times New Roman" w:cs="Times New Roman"/>
                <w:szCs w:val="24"/>
              </w:rPr>
              <w:t> не влияе върху показателите, няма пряко въздействие върху финансовият план, също така не оказва влияние върху финансовите показатели от Споразумението за партньорство.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4"/>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7"/>
              </w:numPr>
              <w:rPr>
                <w:b w:val="0"/>
              </w:rPr>
            </w:pPr>
            <w:r>
              <w:rPr>
                <w:b w:val="0"/>
              </w:rPr>
              <w:t>1А) Стимулиране на иновациите, сътрудничеството и развитието на базата от знания в селските райони</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 xml:space="preserve">4Б) Подобряване управлението на водите, включително управлението на торовете и пестицидите </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Околна среда</w:t>
            </w:r>
          </w:p>
          <w:p>
            <w:pPr>
              <w:numPr>
                <w:numId w:val="35"/>
              </w:numPr>
              <w:rPr>
                <w:b w:val="0"/>
              </w:rPr>
            </w:pPr>
            <w:r>
              <w:rPr>
                <w:b w:val="0"/>
              </w:rPr>
              <w:t>Смекчаване на последиците от изменението на климата и приспособяване към тях</w:t>
            </w:r>
          </w:p>
          <w:p>
            <w:pPr>
              <w:numPr>
                <w:numId w:val="3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Околна среда</w:t>
            </w:r>
          </w:p>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4"/>
              </w:numPr>
              <w:rPr>
                <w:b w:val="0"/>
              </w:rPr>
            </w:pPr>
            <w:r>
              <w:rPr>
                <w:b w:val="0"/>
              </w:rPr>
              <w:t xml:space="preserve">4Б) Подобряване управлението на водите, включително управлението на торовете и пестицидите </w:t>
            </w:r>
          </w:p>
          <w:p>
            <w:pPr>
              <w:numPr>
                <w:numId w:val="64"/>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Околна среда</w:t>
            </w:r>
          </w:p>
          <w:p>
            <w:pPr>
              <w:numPr>
                <w:numId w:val="6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Околна среда</w:t>
            </w:r>
          </w:p>
          <w:p>
            <w:pPr>
              <w:numPr>
                <w:numId w:val="7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4В) Предотвратяване на ерозията на почвите и подобряване на управлението им</w:t>
            </w:r>
          </w:p>
          <w:p>
            <w:pPr>
              <w:numPr>
                <w:numId w:val="7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p>
            <w:pPr>
              <w:numPr>
                <w:numId w:val="7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 xml:space="preserve">5А) Повишаване на ефективността при потреблението на вода в селското стопанство </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1А) Стимулиране на иновациите, сътрудничеството и развитието на базата от знания в селските райони</w:t>
            </w:r>
          </w:p>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p>
            <w:pPr>
              <w:numPr>
                <w:numId w:val="83"/>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M16 — Сътрудничество (член 35)</w:t>
            </w:r>
          </w:p>
          <w:p>
            <w:pPr>
              <w:numPr>
                <w:numId w:val="8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387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p>
            <w:pPr>
              <w:numPr>
                <w:numId w:val="89"/>
              </w:numPr>
            </w:pPr>
            <w:r>
              <w:t>M04 — Инвестиции в материални активи (член 17)</w:t>
            </w:r>
          </w:p>
          <w:p>
            <w:pPr>
              <w:numPr>
                <w:numId w:val="89"/>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151 млн. евро публични разходи (5 %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18 500 000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M09 — Създаване на групи и организации на производителите (член 27)</w:t>
            </w:r>
          </w:p>
          <w:p>
            <w:pPr>
              <w:numPr>
                <w:numId w:val="91"/>
              </w:numPr>
              <w:rPr>
                <w:b w:val="0"/>
              </w:rPr>
            </w:pPr>
            <w:r>
              <w:rPr>
                <w:b w:val="0"/>
              </w:rPr>
              <w:t>M14 — Хуманно отношение към животните (член 33)</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274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330 проекта, като тя има бюджет от 232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17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28 млн. евро публични разходи или 1% от общия. Към бюджета на ПО се отнасят и 27,6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М01 — Трансфер на знания и действия за осведомяване (член 14)</w:t>
            </w:r>
          </w:p>
          <w:p>
            <w:pPr>
              <w:numPr>
                <w:numId w:val="9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3"/>
              </w:numPr>
              <w:rPr>
                <w:b w:val="0"/>
              </w:rPr>
            </w:pPr>
            <w:r>
              <w:rPr>
                <w:b w:val="0"/>
              </w:rPr>
              <w:t>M04 — Инвестиции в материални активи (член 17)</w:t>
            </w:r>
          </w:p>
          <w:p>
            <w:pPr>
              <w:numPr>
                <w:numId w:val="93"/>
              </w:numPr>
              <w:rPr>
                <w:b w:val="0"/>
              </w:rPr>
            </w:pPr>
            <w:r>
              <w:rPr>
                <w:b w:val="0"/>
              </w:rPr>
              <w:t>M10 — Агроекология и климат (член 28)</w:t>
            </w:r>
          </w:p>
          <w:p>
            <w:pPr>
              <w:numPr>
                <w:numId w:val="93"/>
              </w:numPr>
              <w:rPr>
                <w:b w:val="0"/>
              </w:rPr>
            </w:pPr>
            <w:r>
              <w:rPr>
                <w:b w:val="0"/>
              </w:rPr>
              <w:t>М11 — Биологично земеделие (член 29)</w:t>
            </w:r>
          </w:p>
          <w:p>
            <w:pPr>
              <w:numPr>
                <w:numId w:val="93"/>
              </w:numPr>
              <w:rPr>
                <w:b w:val="0"/>
              </w:rPr>
            </w:pPr>
            <w:r>
              <w:rPr>
                <w:b w:val="0"/>
              </w:rPr>
              <w:t>M12 — Плащания по „Натура 2000“ и Рамковата директива за водите (член 30)</w:t>
            </w:r>
          </w:p>
          <w:p>
            <w:pPr>
              <w:numPr>
                <w:numId w:val="93"/>
              </w:numPr>
              <w:rPr>
                <w:b w:val="0"/>
              </w:rPr>
            </w:pPr>
            <w:r>
              <w:rPr>
                <w:b w:val="0"/>
              </w:rPr>
              <w:t>М13 — Плащания за райони, изправени пред природни или други специфични ограничения (член 31)</w:t>
            </w:r>
          </w:p>
          <w:p>
            <w:pPr>
              <w:numPr>
                <w:numId w:val="93"/>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М08 — Инвестиции в развитие на горските райони и подобряване на жизнеспособността на горите (членове 21 — 26)</w:t>
            </w:r>
          </w:p>
          <w:p>
            <w:pPr>
              <w:numPr>
                <w:numId w:val="94"/>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845 млн. евро публични разходи или 29 % от общия бюджет на Програмата. В рамките на приоритета са избрани: 1) мерки – М01, М02 и М16, които имат бюджет 10 млн. евро; 2)  мерки– М10, М11, М12,М13, с бюджет 799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M10 — Агроекология и климат (член 28)</w:t>
            </w:r>
          </w:p>
          <w:p>
            <w:pPr>
              <w:numPr>
                <w:numId w:val="97"/>
              </w:numPr>
            </w:pPr>
            <w:r>
              <w:t>М11 — Биологично земеделие (член 29)</w:t>
            </w:r>
          </w:p>
          <w:p>
            <w:pPr>
              <w:numPr>
                <w:numId w:val="97"/>
              </w:numPr>
            </w:pPr>
            <w:r>
              <w:t>M12 — Плащания по „Натура 2000“ и Рамковата директива за водите (член 30)</w:t>
            </w:r>
          </w:p>
          <w:p>
            <w:pPr>
              <w:numPr>
                <w:numId w:val="97"/>
              </w:numPr>
            </w:pPr>
            <w:r>
              <w:t>М13 — Плащания за райони, изправени пред природни или други специфични ограничения (член 31)</w:t>
            </w:r>
          </w:p>
          <w:p>
            <w:pPr>
              <w:numPr>
                <w:numId w:val="97"/>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М08 — Инвестиции в развитие на горските райони и подобряване на жизнеспособността на горите (членове 21 — 26)</w:t>
            </w:r>
          </w:p>
          <w:p>
            <w:pPr>
              <w:numPr>
                <w:numId w:val="98"/>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М07 — Основни услуги и обновяване на селата в селските райони (член 20)</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M10 — Агроекология и климат (член 28)</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47 млн.евро или 1,6%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М08 — Инвестиции в развитие на горските райони и подобряване на жизнеспособността на горите (членове 21 — 26)</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7,2 млн. евро публични разходи, или 0,3 %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rPr>
                <w:b w:val="0"/>
              </w:rPr>
            </w:pPr>
            <w:r>
              <w:rPr>
                <w:b w:val="0"/>
              </w:rPr>
              <w:t>M06 — Развитие на стопанства и предприятия (член 19)</w:t>
            </w:r>
          </w:p>
          <w:p>
            <w:pPr>
              <w:numPr>
                <w:numId w:val="10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61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p>
            <w:pPr>
              <w:numPr>
                <w:numId w:val="105"/>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684 млн. евро или 24 %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516 682 066,00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197 020 524,40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18 500 000,00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433 729 720,50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28 259 052,30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1 129 324 674,20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22 345 329,10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79 925 384,00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419 024 651,40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238 252 422,00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154 266 117,00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115 476 696,00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47 098 272,00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7 425 187,80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83 426 861,10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780 481 494,80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42 000 000,00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M12,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5C, 3B, 1C, 2B, 5E, 3A, 5B, 5D, 6A, 1A, 1B, 2A, 5A, 6B,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M06, M19, M12, M08, M02, M01, M09, M15, M11, M16, M14, M07, M04, M13</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3B, 2B, 6B, 5E, 5C, 5A, 1B, 5D, 6A, 1C, 6C, 1A, 2A,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M01, M15, M11, M06, M09, M13, M07, M14, M12, M02, M04, M08, M16,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2B, 5D, 1A, 2A, 5C, 5A, 6B, 3A, 6A, 3B, 5B, 6C, 1C, 5E, 1B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M02, M01, M06, M04, M07, M15, M16, M12, M13, M08, M09, M14, M11,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5B, 6B, 2A, 5C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 M02, M19,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6C, 2A, 5A,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M06, M16, M04, M19, M15, M08, M07,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6B, 5C, 5B,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M04, M08, M02, M07, M16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2A, 6A, 3A, 5E, 1B, 1C, 6B, 1A, 5B, 2B, 5A, 5C, 6C, 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M14, M01, M10, M08, M16, M02, M06, M19, M09, M04, M11, M12,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2"/>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2"/>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6"/>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6"/>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6"/>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7"/>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732 202 590,40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687 602 590,40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461 988 772,80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72 616 861,00</w:t>
            </w:r>
          </w:p>
        </w:tc>
        <w:tc>
          <w:tcPr>
            <w:tcW w:w="800" w:type="pct"/>
            <w:shd w:val="clear" w:color="auto" w:fill="FFFFFF"/>
            <w:noWrap w:val="0"/>
            <w:tcMar>
              <w:top w:w="20" w:type="dxa"/>
              <w:bottom w:w="20" w:type="dxa"/>
            </w:tcMar>
            <w:vAlign w:val="center"/>
          </w:tcPr>
          <w:p>
            <w:pPr>
              <w:jc w:val="right"/>
            </w:pPr>
            <w:r>
              <w:t>389 371 911,80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1 151 670 003,30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19 734 231,00</w:t>
            </w:r>
          </w:p>
        </w:tc>
        <w:tc>
          <w:tcPr>
            <w:tcW w:w="800" w:type="pct"/>
            <w:shd w:val="clear" w:color="auto" w:fill="FFFFFF"/>
            <w:noWrap w:val="0"/>
            <w:tcMar>
              <w:top w:w="20" w:type="dxa"/>
              <w:bottom w:w="20" w:type="dxa"/>
            </w:tcMar>
            <w:vAlign w:val="center"/>
          </w:tcPr>
          <w:p>
            <w:pPr>
              <w:jc w:val="right"/>
            </w:pPr>
            <w:r>
              <w:t>1 131 935 772,30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488 177 961,80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56 985 769,00</w:t>
            </w:r>
          </w:p>
        </w:tc>
        <w:tc>
          <w:tcPr>
            <w:tcW w:w="800" w:type="pct"/>
            <w:shd w:val="clear" w:color="auto" w:fill="FFFFFF"/>
            <w:noWrap w:val="0"/>
            <w:tcMar>
              <w:top w:w="20" w:type="dxa"/>
              <w:bottom w:w="20" w:type="dxa"/>
            </w:tcMar>
            <w:vAlign w:val="center"/>
          </w:tcPr>
          <w:p>
            <w:pPr>
              <w:jc w:val="right"/>
            </w:pPr>
            <w:r>
              <w:t>431 192 192,80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42 230,00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42 230,00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600,00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905 908 355,90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905 908 355,90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879,00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879,00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732 202 590,40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687 602 590,40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461 988 772,80</w:t>
      </w:r>
    </w:p>
    <w:p>
      <w:r>
        <w:t xml:space="preserve">Корекции за допълнителни плащания (б): </w:t>
      </w:r>
    </w:p>
    <w:p>
      <w:r>
        <w:t xml:space="preserve">Корекция EURI (B): </w:t>
      </w:r>
      <w:r>
        <w:t>72 616 861,00</w:t>
      </w:r>
    </w:p>
    <w:p>
      <w:r>
        <w:t xml:space="preserve">Целева абсолютна стойност (A—Б—В): </w:t>
      </w:r>
      <w:r>
        <w:t>389 371 911,80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1 151 670 003,30</w:t>
      </w:r>
    </w:p>
    <w:p>
      <w:r>
        <w:t xml:space="preserve">Корекции за допълнителни плащания (б): </w:t>
      </w:r>
    </w:p>
    <w:p>
      <w:r>
        <w:t xml:space="preserve">Корекция EURI (B): </w:t>
      </w:r>
      <w:r>
        <w:t>19 734 231,00</w:t>
      </w:r>
    </w:p>
    <w:p>
      <w:r>
        <w:t xml:space="preserve">Целева абсолютна стойност (A—Б—В): </w:t>
      </w:r>
      <w:r>
        <w:t>1 131 935 772,30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610 000,00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488 177 961,80</w:t>
      </w:r>
    </w:p>
    <w:p>
      <w:r>
        <w:t xml:space="preserve">Корекции за допълнителни плащания (б): </w:t>
      </w:r>
    </w:p>
    <w:p>
      <w:r>
        <w:t xml:space="preserve">Корекция EURI (B): </w:t>
      </w:r>
      <w:r>
        <w:t>56 985 769,00</w:t>
      </w:r>
    </w:p>
    <w:p>
      <w:r>
        <w:t xml:space="preserve">Целева абсолютна стойност (A—Б—В): </w:t>
      </w:r>
      <w:r>
        <w:t>431 192 192,80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42 230,00</w:t>
      </w:r>
    </w:p>
    <w:p>
      <w:r>
        <w:t xml:space="preserve">Корекции за допълнителни плащания (б): </w:t>
      </w:r>
    </w:p>
    <w:p>
      <w:r>
        <w:t xml:space="preserve">Корекция EURI (B): </w:t>
      </w:r>
      <w:r>
        <w:t>0,00</w:t>
      </w:r>
    </w:p>
    <w:p>
      <w:r>
        <w:t xml:space="preserve">Целева абсолютна стойност (A—Б—В): </w:t>
      </w:r>
      <w:r>
        <w:t>42 230,00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670,00</w:t>
      </w:r>
    </w:p>
    <w:p>
      <w:r>
        <w:t xml:space="preserve">Корекции за допълнителни плащания (б): </w:t>
      </w:r>
    </w:p>
    <w:p>
      <w:r>
        <w:t xml:space="preserve">Корекция EURI (B): </w:t>
      </w:r>
      <w:r>
        <w:t>70,00</w:t>
      </w:r>
    </w:p>
    <w:p>
      <w:r>
        <w:t xml:space="preserve">Целева абсолютна стойност (A—Б—В): </w:t>
      </w:r>
      <w:r>
        <w:t>600,00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905 908 355,90</w:t>
      </w:r>
    </w:p>
    <w:p>
      <w:r>
        <w:t xml:space="preserve">Корекции за допълнителни плащания (б): </w:t>
      </w:r>
    </w:p>
    <w:p>
      <w:r>
        <w:t xml:space="preserve">Корекция EURI (B): </w:t>
      </w:r>
      <w:r>
        <w:t>0,00</w:t>
      </w:r>
    </w:p>
    <w:p>
      <w:r>
        <w:t xml:space="preserve">Целева абсолютна стойност (A—Б—В): </w:t>
      </w:r>
      <w:r>
        <w:t>905 908 355,90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879,00</w:t>
      </w:r>
    </w:p>
    <w:p>
      <w:r>
        <w:t xml:space="preserve">Корекции за допълнителни плащания (б): </w:t>
      </w:r>
    </w:p>
    <w:p>
      <w:r>
        <w:t xml:space="preserve">Корекция EURI (B): </w:t>
      </w:r>
      <w:r>
        <w:t>0,00</w:t>
      </w:r>
    </w:p>
    <w:p>
      <w:r>
        <w:t xml:space="preserve">Целева абсолютна стойност (A—Б—В): </w:t>
      </w:r>
      <w:r>
        <w:t>879,00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3"/>
              <w:gridCol w:w="1860"/>
              <w:gridCol w:w="1896"/>
              <w:gridCol w:w="1962"/>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5"/>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5"/>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9"/>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9"/>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4"/>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1 500 000 евро за кандидати с животновъдни стопанства, отглеждащи свине;</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5"/>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1"/>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2"/>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8"/>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кандидат община за периода на удължаване на срока на програмата, не може да надхвърля левовата равностойност на определените бюджети за съответната община, определени в утвърдена от ръководителя на Управляващия орган на ПРСР „Методика за определяне на гарантирани бюджети за общините в обхвата на дефиницията за селски райони“ приета в съответствие с националното законодателство по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2"/>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6"/>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3"/>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3"/>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4"/>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6"/>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7"/>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7"/>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8"/>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3"/>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4"/>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3"/>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5"/>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7"/>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1"/>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2"/>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 След 2020 г. евро/ЖЕ - 39,72 евро;</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 След 2020 г. евро/ЖЕ - 66,21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9"/>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8"/>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8"/>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6"/>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0"/>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6"/>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6"/>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7"/>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3"/>
              <w:gridCol w:w="1789"/>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4" w:name="_Toc256000134"/>
      <w:r>
        <w:t>План за оценка</w:t>
      </w:r>
      <w:bookmarkEnd w:id="134"/>
    </w:p>
    <w:p>
      <w:pPr>
        <w:pStyle w:val="Heading2"/>
      </w:pPr>
      <w:bookmarkStart w:id="135" w:name="_Toc256000135"/>
      <w:r>
        <w:t>Цели и задачи</w:t>
      </w:r>
      <w:bookmarkEnd w:id="135"/>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6" w:name="_Toc256000136"/>
      <w:r>
        <w:t>Управление и координация</w:t>
      </w:r>
      <w:bookmarkEnd w:id="136"/>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7" w:name="_Toc256000137"/>
      <w:r>
        <w:t>Предмет на оценката и дейности</w:t>
      </w:r>
      <w:bookmarkEnd w:id="137"/>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8" w:name="_Toc256000138"/>
      <w:r>
        <w:t>Данни и информация</w:t>
      </w:r>
      <w:bookmarkEnd w:id="138"/>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9" w:name="_Toc256000139"/>
      <w:r>
        <w:t>График</w:t>
      </w:r>
      <w:bookmarkEnd w:id="139"/>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Комуникация</w:t>
      </w:r>
      <w:bookmarkEnd w:id="140"/>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Ресурси</w:t>
      </w:r>
      <w:bookmarkEnd w:id="141"/>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2" w:name="_Toc256000142"/>
      <w:r>
        <w:t>Финансов план</w:t>
      </w:r>
      <w:bookmarkEnd w:id="142"/>
    </w:p>
    <w:p>
      <w:pPr>
        <w:pStyle w:val="Heading2"/>
      </w:pPr>
      <w:r>
        <w:t xml:space="preserve"> </w:t>
      </w:r>
      <w:bookmarkStart w:id="143" w:name="_Toc256000143"/>
      <w:r>
        <w:t>Годишно участие на ЕЗФРСР в (в евро)</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and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1 543 391 051,20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and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49,32</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1 458 671 051,20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49,83</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indicative amount, for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EAFRD and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1 191 257 533,00</w:t>
            </w:r>
          </w:p>
        </w:tc>
        <w:tc>
          <w:tcPr>
            <w:tcW w:w="1900" w:type="pct"/>
            <w:shd w:val="clear" w:color="auto" w:fill="C0C0C0"/>
            <w:noWrap w:val="0"/>
            <w:tcMar>
              <w:top w:w="60" w:type="dxa"/>
            </w:tcMar>
            <w:vAlign w:val="top"/>
          </w:tcPr>
          <w:p>
            <w:pPr>
              <w:jc w:val="left"/>
              <w:rPr>
                <w:b/>
                <w:i w:val="0"/>
                <w:sz w:val="16"/>
              </w:rPr>
            </w:pPr>
            <w:r>
              <w:rPr>
                <w:b w:val="0"/>
                <w:i w:val="0"/>
                <w:sz w:val="16"/>
              </w:rPr>
              <w:t>Share of EAFRD and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38,07</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EAFRD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1 106 537 533,00</w:t>
            </w:r>
          </w:p>
        </w:tc>
        <w:tc>
          <w:tcPr>
            <w:tcW w:w="1900" w:type="pct"/>
            <w:shd w:val="clear" w:color="auto" w:fill="C0C0C0"/>
            <w:noWrap w:val="0"/>
            <w:tcMar>
              <w:top w:w="60" w:type="dxa"/>
            </w:tcMar>
            <w:vAlign w:val="top"/>
          </w:tcPr>
          <w:p>
            <w:pPr>
              <w:jc w:val="left"/>
              <w:rPr>
                <w:b/>
                <w:i w:val="0"/>
                <w:sz w:val="16"/>
              </w:rPr>
            </w:pPr>
            <w:r>
              <w:rPr>
                <w:b w:val="0"/>
                <w:i w:val="0"/>
                <w:sz w:val="16"/>
              </w:rPr>
              <w:t>Share of total EAFRD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35.71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4" w:name="_Toc256000144"/>
      <w:r>
        <w:t>Единно процентно участие на ЕЗФРСР за всички мерки с разбивка по вид регион, съгласно посоченото в член 59, параграф 3 от Регламент (ЕС) № 1305/2013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5" w:name="_Toc256000145"/>
      <w:r>
        <w:rPr>
          <w:b/>
        </w:rPr>
        <w:t>Разбивката по мярка или вид операция, с конкретния размер на процентното участие на ЕЗФРСР (в евро за целия период 2014 — 2022 г.)</w:t>
      </w:r>
      <w:bookmarkEnd w:id="145"/>
    </w:p>
    <w:p>
      <w:pPr>
        <w:pStyle w:val="Heading3"/>
        <w:jc w:val="left"/>
        <w:rPr>
          <w:b w:val="0"/>
        </w:rPr>
      </w:pPr>
      <w:bookmarkStart w:id="146" w:name="_Toc256000146"/>
      <w:r>
        <w:rPr>
          <w:b w:val="0"/>
        </w:rPr>
        <w:t>М01 — Трансфер на знания и действия за осведомяване (член 14)</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20 700 000,00</w:t>
            </w:r>
            <w:r>
              <w:rPr>
                <w:b w:val="0"/>
                <w:sz w:val="16"/>
              </w:rPr>
              <w:br/>
            </w:r>
            <w:r>
              <w:rPr>
                <w:b w:val="0"/>
                <w:sz w:val="16"/>
              </w:rPr>
              <w:t>0,00</w:t>
            </w:r>
            <w:r>
              <w:rPr>
                <w:b w:val="0"/>
                <w:sz w:val="16"/>
              </w:rPr>
              <w:br/>
            </w:r>
            <w:r>
              <w:rPr>
                <w:b w:val="0"/>
                <w:sz w:val="16"/>
              </w:rPr>
              <w:t>20 700 000,00</w:t>
            </w:r>
          </w:p>
        </w:tc>
      </w:tr>
    </w:tbl>
    <w:p>
      <w:pPr>
        <w:pStyle w:val="Heading3"/>
        <w:jc w:val="left"/>
        <w:rPr>
          <w:b w:val="0"/>
        </w:rPr>
      </w:pPr>
      <w:r>
        <w:rPr>
          <w:b/>
        </w:rPr>
        <w:br w:type="page"/>
      </w:r>
      <w:bookmarkStart w:id="147" w:name="_Toc256000147"/>
      <w:r>
        <w:rPr>
          <w:b w:val="0"/>
        </w:rPr>
        <w:t>М02 —  Консултантски услуги, услуги по управление на стопанство и услуги по заместване в стопанство (член 15)</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8 156 117,00 (2A)</w:t>
            </w:r>
          </w:p>
          <w:p>
            <w:pPr>
              <w:jc w:val="right"/>
              <w:rPr>
                <w:b w:val="0"/>
                <w:sz w:val="16"/>
              </w:rPr>
            </w:pPr>
            <w:r>
              <w:rPr>
                <w:b w:val="0"/>
                <w:sz w:val="16"/>
              </w:rPr>
              <w:t>2 766 352,00 (2B)</w:t>
            </w:r>
          </w:p>
          <w:p>
            <w:pPr>
              <w:jc w:val="right"/>
              <w:rPr>
                <w:b w:val="0"/>
                <w:sz w:val="16"/>
              </w:rPr>
            </w:pPr>
            <w:r>
              <w:rPr>
                <w:b w:val="0"/>
                <w:sz w:val="16"/>
              </w:rPr>
              <w:t>768 158,00 (3A)</w:t>
            </w:r>
          </w:p>
          <w:p>
            <w:pPr>
              <w:jc w:val="right"/>
              <w:rPr>
                <w:b w:val="0"/>
                <w:sz w:val="16"/>
              </w:rPr>
            </w:pPr>
            <w:r>
              <w:rPr>
                <w:b w:val="0"/>
                <w:sz w:val="16"/>
              </w:rPr>
              <w:t>399 258,00 (3B)</w:t>
            </w:r>
          </w:p>
          <w:p>
            <w:pPr>
              <w:jc w:val="right"/>
              <w:rPr>
                <w:b w:val="0"/>
                <w:sz w:val="16"/>
              </w:rPr>
            </w:pPr>
            <w:r>
              <w:rPr>
                <w:b w:val="0"/>
                <w:sz w:val="16"/>
              </w:rPr>
              <w:t>1 966 202,00 (P4)</w:t>
            </w:r>
          </w:p>
          <w:p>
            <w:pPr>
              <w:jc w:val="right"/>
              <w:rPr>
                <w:b w:val="0"/>
                <w:sz w:val="16"/>
              </w:rPr>
            </w:pPr>
            <w:r>
              <w:rPr>
                <w:b w:val="0"/>
                <w:sz w:val="16"/>
              </w:rPr>
              <w:t>296 151,00 (5A)</w:t>
            </w:r>
          </w:p>
          <w:p>
            <w:pPr>
              <w:jc w:val="right"/>
              <w:rPr>
                <w:b w:val="0"/>
                <w:sz w:val="16"/>
              </w:rPr>
            </w:pPr>
            <w:r>
              <w:rPr>
                <w:b w:val="0"/>
                <w:sz w:val="16"/>
              </w:rPr>
              <w:t>838 020,00 (5B)</w:t>
            </w:r>
          </w:p>
          <w:p>
            <w:pPr>
              <w:jc w:val="right"/>
              <w:rPr>
                <w:b w:val="0"/>
                <w:sz w:val="16"/>
              </w:rPr>
            </w:pPr>
            <w:r>
              <w:rPr>
                <w:b w:val="0"/>
                <w:sz w:val="16"/>
              </w:rPr>
              <w:t>838 020,00 (5C)</w:t>
            </w:r>
          </w:p>
          <w:p>
            <w:pPr>
              <w:jc w:val="right"/>
              <w:rPr>
                <w:b w:val="0"/>
                <w:sz w:val="16"/>
              </w:rPr>
            </w:pPr>
            <w:r>
              <w:rPr>
                <w:b w:val="0"/>
                <w:sz w:val="16"/>
              </w:rPr>
              <w:t>838 020,00 (5D)</w:t>
            </w:r>
          </w:p>
          <w:p>
            <w:pPr>
              <w:jc w:val="right"/>
              <w:rPr>
                <w:b w:val="0"/>
                <w:sz w:val="16"/>
              </w:rPr>
            </w:pPr>
            <w:r>
              <w:rPr>
                <w:b w:val="0"/>
                <w:sz w:val="16"/>
              </w:rPr>
              <w:t>838 020,00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8" w:name="_Toc256000148"/>
      <w:r>
        <w:rPr>
          <w:b w:val="0"/>
        </w:rPr>
        <w:t>M04 — Инвестиции в материални активи (член 17)</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305 396 927,00 (2A)</w:t>
            </w:r>
          </w:p>
          <w:p>
            <w:pPr>
              <w:jc w:val="right"/>
              <w:rPr>
                <w:b w:val="0"/>
                <w:sz w:val="16"/>
              </w:rPr>
            </w:pPr>
            <w:r>
              <w:rPr>
                <w:b w:val="0"/>
                <w:sz w:val="16"/>
              </w:rPr>
              <w:t>71 445 025,00 (2B)</w:t>
            </w:r>
          </w:p>
          <w:p>
            <w:pPr>
              <w:jc w:val="right"/>
              <w:rPr>
                <w:b w:val="0"/>
                <w:sz w:val="16"/>
              </w:rPr>
            </w:pPr>
            <w:r>
              <w:rPr>
                <w:b w:val="0"/>
                <w:sz w:val="16"/>
              </w:rPr>
              <w:t>270 790 802,00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48 349 395,00 (5A)</w:t>
            </w:r>
          </w:p>
          <w:p>
            <w:pPr>
              <w:jc w:val="right"/>
              <w:rPr>
                <w:b w:val="0"/>
                <w:sz w:val="16"/>
              </w:rPr>
            </w:pPr>
            <w:r>
              <w:rPr>
                <w:b w:val="0"/>
                <w:sz w:val="16"/>
              </w:rPr>
              <w:t>147 464 727,00 (5B)</w:t>
            </w:r>
          </w:p>
          <w:p>
            <w:pPr>
              <w:jc w:val="right"/>
              <w:rPr>
                <w:b w:val="0"/>
                <w:sz w:val="16"/>
              </w:rPr>
            </w:pPr>
            <w:r>
              <w:rPr>
                <w:b w:val="0"/>
                <w:sz w:val="16"/>
              </w:rPr>
              <w:t>24 622 260,00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72 616 861,00 (3A)</w:t>
            </w:r>
          </w:p>
          <w:p>
            <w:pPr>
              <w:jc w:val="right"/>
              <w:rPr>
                <w:b w:val="0"/>
                <w:sz w:val="16"/>
              </w:rPr>
            </w:pPr>
            <w:r>
              <w:rPr>
                <w:b w:val="0"/>
                <w:sz w:val="16"/>
              </w:rPr>
              <w:t>19 734 231,00 (P4)</w:t>
            </w:r>
          </w:p>
          <w:p>
            <w:pPr>
              <w:jc w:val="right"/>
              <w:rPr>
                <w:b w:val="0"/>
                <w:sz w:val="16"/>
              </w:rPr>
            </w:pPr>
            <w:r>
              <w:rPr>
                <w:b w:val="0"/>
                <w:sz w:val="16"/>
              </w:rPr>
              <w:t>10 000 000,00 (5A)</w:t>
            </w:r>
          </w:p>
          <w:p>
            <w:pPr>
              <w:jc w:val="right"/>
              <w:rPr>
                <w:b w:val="0"/>
                <w:sz w:val="16"/>
              </w:rPr>
            </w:pPr>
            <w:r>
              <w:rPr>
                <w:b w:val="0"/>
                <w:sz w:val="16"/>
              </w:rPr>
              <w:t>36 985 769,00 (5B)</w:t>
            </w:r>
          </w:p>
          <w:p>
            <w:pPr>
              <w:jc w:val="right"/>
              <w:rPr>
                <w:b w:val="0"/>
                <w:sz w:val="16"/>
              </w:rPr>
            </w:pPr>
            <w:r>
              <w:rPr>
                <w:b w:val="0"/>
                <w:sz w:val="16"/>
              </w:rPr>
              <w:t>10 000 000,00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13 000 000,00</w:t>
            </w:r>
            <w:r>
              <w:rPr>
                <w:b w:val="0"/>
                <w:sz w:val="16"/>
              </w:rPr>
              <w:br/>
            </w:r>
            <w:r>
              <w:rPr>
                <w:b w:val="0"/>
                <w:sz w:val="16"/>
              </w:rPr>
              <w:t>0,00</w:t>
            </w:r>
            <w:r>
              <w:rPr>
                <w:b w:val="0"/>
                <w:sz w:val="16"/>
              </w:rPr>
              <w:br/>
            </w: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880 467 221,00</w:t>
            </w:r>
            <w:r>
              <w:rPr>
                <w:b w:val="0"/>
                <w:sz w:val="16"/>
              </w:rPr>
              <w:br/>
            </w:r>
            <w:r>
              <w:rPr>
                <w:b w:val="0"/>
                <w:sz w:val="16"/>
              </w:rPr>
              <w:t>149 336 861,00</w:t>
            </w:r>
            <w:r>
              <w:rPr>
                <w:b w:val="0"/>
                <w:sz w:val="16"/>
              </w:rPr>
              <w:br/>
            </w:r>
            <w:r>
              <w:rPr>
                <w:b w:val="0"/>
                <w:sz w:val="16"/>
              </w:rPr>
              <w:t>1 029 804 082,00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309 554 467,00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232 834 467,00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76 720 000,00</w:t>
            </w:r>
          </w:p>
        </w:tc>
      </w:tr>
    </w:tbl>
    <w:p>
      <w:pPr>
        <w:pStyle w:val="Heading3"/>
        <w:jc w:val="left"/>
        <w:rPr>
          <w:b w:val="0"/>
        </w:rPr>
      </w:pPr>
      <w:r>
        <w:rPr>
          <w:b/>
        </w:rPr>
        <w:br w:type="page"/>
      </w:r>
      <w:bookmarkStart w:id="149" w:name="_Toc256000149"/>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9"/>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23 450 935,00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23 450 935,00</w:t>
            </w:r>
            <w:r>
              <w:rPr>
                <w:b w:val="0"/>
                <w:sz w:val="16"/>
              </w:rPr>
              <w:br/>
            </w:r>
            <w:r>
              <w:rPr>
                <w:b w:val="0"/>
                <w:sz w:val="16"/>
              </w:rPr>
              <w:t>0,00</w:t>
            </w:r>
            <w:r>
              <w:rPr>
                <w:b w:val="0"/>
                <w:sz w:val="16"/>
              </w:rPr>
              <w:br/>
            </w:r>
            <w:r>
              <w:rPr>
                <w:b w:val="0"/>
                <w:sz w:val="16"/>
              </w:rPr>
              <w:t>23 450 935,00</w:t>
            </w:r>
          </w:p>
        </w:tc>
      </w:tr>
    </w:tbl>
    <w:p>
      <w:pPr>
        <w:pStyle w:val="Heading3"/>
        <w:jc w:val="left"/>
        <w:rPr>
          <w:b w:val="0"/>
        </w:rPr>
      </w:pPr>
      <w:r>
        <w:rPr>
          <w:b/>
        </w:rPr>
        <w:br w:type="page"/>
      </w:r>
      <w:bookmarkStart w:id="150" w:name="_Toc256000150"/>
      <w:r>
        <w:rPr>
          <w:b w:val="0"/>
        </w:rPr>
        <w:t>M06 — Развитие на стопанства и предприятия (член 19)</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67 597 832,00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20 000 000,00 (2A)</w:t>
            </w:r>
          </w:p>
          <w:p>
            <w:pPr>
              <w:jc w:val="right"/>
              <w:rPr>
                <w:b w:val="0"/>
                <w:sz w:val="16"/>
              </w:rPr>
            </w:pPr>
            <w:r>
              <w:rPr>
                <w:b w:val="0"/>
                <w:sz w:val="16"/>
              </w:rPr>
              <w:t>24 600 000,00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1 500 000,00</w:t>
            </w:r>
            <w:r>
              <w:rPr>
                <w:b w:val="0"/>
                <w:sz w:val="16"/>
              </w:rPr>
              <w:br/>
            </w:r>
            <w:r>
              <w:rPr>
                <w:b w:val="0"/>
                <w:sz w:val="16"/>
              </w:rPr>
              <w:t>0,00</w:t>
            </w:r>
            <w:r>
              <w:rPr>
                <w:b w:val="0"/>
                <w:sz w:val="16"/>
              </w:rPr>
              <w:br/>
            </w: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201 221 967,00</w:t>
            </w:r>
            <w:r>
              <w:rPr>
                <w:b w:val="0"/>
                <w:sz w:val="16"/>
              </w:rPr>
              <w:br/>
            </w:r>
            <w:r>
              <w:rPr>
                <w:b w:val="0"/>
                <w:sz w:val="16"/>
              </w:rPr>
              <w:t>44 600 000,00</w:t>
            </w:r>
            <w:r>
              <w:rPr>
                <w:b w:val="0"/>
                <w:sz w:val="16"/>
              </w:rPr>
              <w:br/>
            </w:r>
            <w:r>
              <w:rPr>
                <w:b w:val="0"/>
                <w:sz w:val="16"/>
              </w:rPr>
              <w:t>245 821 967,00</w:t>
            </w:r>
          </w:p>
        </w:tc>
      </w:tr>
    </w:tbl>
    <w:p>
      <w:pPr>
        <w:pStyle w:val="Heading3"/>
        <w:jc w:val="left"/>
        <w:rPr>
          <w:b w:val="0"/>
        </w:rPr>
      </w:pPr>
      <w:r>
        <w:rPr>
          <w:b/>
        </w:rPr>
        <w:br w:type="page"/>
      </w:r>
      <w:bookmarkStart w:id="151" w:name="_Toc256000151"/>
      <w:r>
        <w:rPr>
          <w:b w:val="0"/>
        </w:rPr>
        <w:t>М07 — Основни услуги и обновяване на селата в селските райони (член 20)</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519 456 524,00 (6B)</w:t>
            </w:r>
          </w:p>
          <w:p>
            <w:pPr>
              <w:jc w:val="right"/>
              <w:rPr>
                <w:b w:val="0"/>
                <w:sz w:val="16"/>
              </w:rPr>
            </w:pPr>
            <w:r>
              <w:rPr>
                <w:b w:val="0"/>
                <w:sz w:val="16"/>
              </w:rPr>
              <w:t>35 700 000,00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614 656 524,00</w:t>
            </w:r>
            <w:r>
              <w:rPr>
                <w:b w:val="0"/>
                <w:sz w:val="16"/>
              </w:rPr>
              <w:br/>
            </w:r>
            <w:r>
              <w:rPr>
                <w:b w:val="0"/>
                <w:sz w:val="16"/>
              </w:rPr>
              <w:t>0,00</w:t>
            </w:r>
            <w:r>
              <w:rPr>
                <w:b w:val="0"/>
                <w:sz w:val="16"/>
              </w:rPr>
              <w:br/>
            </w:r>
            <w:r>
              <w:rPr>
                <w:b w:val="0"/>
                <w:sz w:val="16"/>
              </w:rPr>
              <w:t>614 656 524,00</w:t>
            </w:r>
          </w:p>
        </w:tc>
      </w:tr>
    </w:tbl>
    <w:p>
      <w:pPr>
        <w:pStyle w:val="Heading3"/>
        <w:jc w:val="left"/>
        <w:rPr>
          <w:b w:val="0"/>
        </w:rPr>
      </w:pPr>
      <w:r>
        <w:rPr>
          <w:b/>
        </w:rPr>
        <w:br w:type="page"/>
      </w:r>
      <w:bookmarkStart w:id="152" w:name="_Toc256000152"/>
      <w:r>
        <w:rPr>
          <w:b w:val="0"/>
        </w:rPr>
        <w:t>М08 — Инвестиции в развитие на горските райони и подобряване на жизнеспособността на горите (членове 21 — 26)</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15 725 000,00 (2C+)</w:t>
            </w:r>
          </w:p>
          <w:p>
            <w:pPr>
              <w:jc w:val="right"/>
              <w:rPr>
                <w:b w:val="0"/>
                <w:sz w:val="16"/>
              </w:rPr>
            </w:pPr>
            <w:r>
              <w:rPr>
                <w:b w:val="0"/>
                <w:sz w:val="16"/>
              </w:rPr>
              <w:t>17 403 157,00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1 223 334,00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36 388 991,00</w:t>
            </w:r>
            <w:r>
              <w:rPr>
                <w:b w:val="0"/>
                <w:sz w:val="16"/>
              </w:rPr>
              <w:br/>
            </w:r>
            <w:r>
              <w:rPr>
                <w:b w:val="0"/>
                <w:sz w:val="16"/>
              </w:rPr>
              <w:t>0,00</w:t>
            </w:r>
            <w:r>
              <w:rPr>
                <w:b w:val="0"/>
                <w:sz w:val="16"/>
              </w:rPr>
              <w:br/>
            </w:r>
            <w:r>
              <w:rPr>
                <w:b w:val="0"/>
                <w:sz w:val="16"/>
              </w:rPr>
              <w:t>36 388 991,00</w:t>
            </w:r>
          </w:p>
        </w:tc>
      </w:tr>
    </w:tbl>
    <w:p>
      <w:pPr>
        <w:pStyle w:val="Heading3"/>
        <w:jc w:val="left"/>
        <w:rPr>
          <w:b w:val="0"/>
        </w:rPr>
      </w:pPr>
      <w:r>
        <w:rPr>
          <w:b/>
        </w:rPr>
        <w:br w:type="page"/>
      </w:r>
      <w:bookmarkStart w:id="153" w:name="_Toc256000153"/>
      <w:r>
        <w:rPr>
          <w:b w:val="0"/>
        </w:rPr>
        <w:t>M09 — Създаване на групи и организации на производителите (член 27)</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8 384 852,00</w:t>
            </w:r>
            <w:r>
              <w:rPr>
                <w:b w:val="0"/>
                <w:sz w:val="16"/>
              </w:rPr>
              <w:br/>
            </w:r>
            <w:r>
              <w:rPr>
                <w:b w:val="0"/>
                <w:sz w:val="16"/>
              </w:rPr>
              <w:t>0,00</w:t>
            </w:r>
            <w:r>
              <w:rPr>
                <w:b w:val="0"/>
                <w:sz w:val="16"/>
              </w:rPr>
              <w:br/>
            </w:r>
            <w:r>
              <w:rPr>
                <w:b w:val="0"/>
                <w:sz w:val="16"/>
              </w:rPr>
              <w:t>8 384 852,00</w:t>
            </w:r>
          </w:p>
        </w:tc>
      </w:tr>
    </w:tbl>
    <w:p>
      <w:pPr>
        <w:pStyle w:val="Heading3"/>
        <w:jc w:val="left"/>
        <w:rPr>
          <w:b w:val="0"/>
        </w:rPr>
      </w:pPr>
      <w:r>
        <w:rPr>
          <w:b/>
        </w:rPr>
        <w:br w:type="page"/>
      </w:r>
      <w:bookmarkStart w:id="154" w:name="_Toc256000154"/>
      <w:r>
        <w:rPr>
          <w:b w:val="0"/>
        </w:rPr>
        <w:t>M10 — Агроекология и климат (член 28)</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174 022 462,00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205 788 462,00</w:t>
            </w:r>
            <w:r>
              <w:rPr>
                <w:b w:val="0"/>
                <w:sz w:val="16"/>
              </w:rPr>
              <w:br/>
            </w:r>
            <w:r>
              <w:rPr>
                <w:b w:val="0"/>
                <w:sz w:val="16"/>
              </w:rPr>
              <w:t>8 000 000,00</w:t>
            </w:r>
            <w:r>
              <w:rPr>
                <w:b w:val="0"/>
                <w:sz w:val="16"/>
              </w:rPr>
              <w:br/>
            </w:r>
            <w:r>
              <w:rPr>
                <w:b w:val="0"/>
                <w:sz w:val="16"/>
              </w:rPr>
              <w:t>213 788 462,00</w:t>
            </w:r>
          </w:p>
        </w:tc>
      </w:tr>
    </w:tbl>
    <w:p>
      <w:pPr>
        <w:pStyle w:val="Heading3"/>
        <w:jc w:val="left"/>
        <w:rPr>
          <w:b w:val="0"/>
        </w:rPr>
      </w:pPr>
      <w:r>
        <w:rPr>
          <w:b/>
        </w:rPr>
        <w:br w:type="page"/>
      </w:r>
      <w:bookmarkStart w:id="155" w:name="_Toc256000155"/>
      <w:r>
        <w:rPr>
          <w:b w:val="0"/>
        </w:rPr>
        <w:t>М11 — Биологично земеделие (член 29)</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184 457 579,00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184 457 579,00</w:t>
            </w:r>
            <w:r>
              <w:rPr>
                <w:b w:val="0"/>
                <w:sz w:val="16"/>
              </w:rPr>
              <w:br/>
            </w:r>
            <w:r>
              <w:rPr>
                <w:b w:val="0"/>
                <w:sz w:val="16"/>
              </w:rPr>
              <w:t>0,00</w:t>
            </w:r>
            <w:r>
              <w:rPr>
                <w:b w:val="0"/>
                <w:sz w:val="16"/>
              </w:rPr>
              <w:br/>
            </w:r>
            <w:r>
              <w:rPr>
                <w:b w:val="0"/>
                <w:sz w:val="16"/>
              </w:rPr>
              <w:t>184 457 579,00</w:t>
            </w:r>
          </w:p>
        </w:tc>
      </w:tr>
    </w:tbl>
    <w:p>
      <w:pPr>
        <w:pStyle w:val="Heading3"/>
        <w:jc w:val="left"/>
        <w:rPr>
          <w:b w:val="0"/>
        </w:rPr>
      </w:pPr>
      <w:r>
        <w:rPr>
          <w:b/>
        </w:rPr>
        <w:br w:type="page"/>
      </w:r>
      <w:bookmarkStart w:id="156" w:name="_Toc256000156"/>
      <w:r>
        <w:rPr>
          <w:b w:val="0"/>
        </w:rPr>
        <w:t>M12 — Плащания по „Натура 2000“ и Рамковата директива за водите (член 30)</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153 507 028,00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153 507 028,00</w:t>
            </w:r>
            <w:r>
              <w:rPr>
                <w:b w:val="0"/>
                <w:sz w:val="16"/>
              </w:rPr>
              <w:br/>
            </w:r>
            <w:r>
              <w:rPr>
                <w:b w:val="0"/>
                <w:sz w:val="16"/>
              </w:rPr>
              <w:t>0,00</w:t>
            </w:r>
            <w:r>
              <w:rPr>
                <w:b w:val="0"/>
                <w:sz w:val="16"/>
              </w:rPr>
              <w:br/>
            </w: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7" w:name="_Toc256000157"/>
      <w:r>
        <w:rPr>
          <w:b w:val="0"/>
        </w:rPr>
        <w:t>М13 — Плащания за райони, изправени пред природни или други специфични ограничения (член 31)</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293 561 006,00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293 561 006,00</w:t>
            </w:r>
            <w:r>
              <w:rPr>
                <w:b w:val="0"/>
                <w:sz w:val="16"/>
              </w:rPr>
              <w:br/>
            </w:r>
            <w:r>
              <w:rPr>
                <w:b w:val="0"/>
                <w:sz w:val="16"/>
              </w:rPr>
              <w:t>0,00</w:t>
            </w:r>
            <w:r>
              <w:rPr>
                <w:b w:val="0"/>
                <w:sz w:val="16"/>
              </w:rPr>
              <w:br/>
            </w:r>
            <w:r>
              <w:rPr>
                <w:b w:val="0"/>
                <w:sz w:val="16"/>
              </w:rPr>
              <w:t>293 561 006,00</w:t>
            </w:r>
          </w:p>
        </w:tc>
      </w:tr>
    </w:tbl>
    <w:p>
      <w:pPr>
        <w:pStyle w:val="Heading3"/>
        <w:jc w:val="left"/>
        <w:rPr>
          <w:b w:val="0"/>
        </w:rPr>
      </w:pPr>
      <w:r>
        <w:rPr>
          <w:b/>
        </w:rPr>
        <w:br w:type="page"/>
      </w:r>
      <w:bookmarkStart w:id="158" w:name="_Toc256000158"/>
      <w:r>
        <w:rPr>
          <w:b w:val="0"/>
        </w:rPr>
        <w:t>M14 — Хуманно отношение към животните (член 33)</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21 081 806,00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21 081 806,00</w:t>
            </w:r>
            <w:r>
              <w:rPr>
                <w:b w:val="0"/>
                <w:sz w:val="16"/>
              </w:rPr>
              <w:br/>
            </w:r>
            <w:r>
              <w:rPr>
                <w:b w:val="0"/>
                <w:sz w:val="16"/>
              </w:rPr>
              <w:t>0,00</w:t>
            </w:r>
            <w:r>
              <w:rPr>
                <w:b w:val="0"/>
                <w:sz w:val="16"/>
              </w:rPr>
              <w:br/>
            </w:r>
            <w:r>
              <w:rPr>
                <w:b w:val="0"/>
                <w:sz w:val="16"/>
              </w:rPr>
              <w:t>21 081 806,00</w:t>
            </w:r>
          </w:p>
        </w:tc>
      </w:tr>
    </w:tbl>
    <w:p>
      <w:pPr>
        <w:pStyle w:val="Heading3"/>
        <w:jc w:val="left"/>
        <w:rPr>
          <w:b w:val="0"/>
        </w:rPr>
      </w:pPr>
      <w:r>
        <w:rPr>
          <w:b/>
        </w:rPr>
        <w:br w:type="page"/>
      </w:r>
      <w:bookmarkStart w:id="159" w:name="_Toc256000159"/>
      <w:r>
        <w:rPr>
          <w:b w:val="0"/>
        </w:rPr>
        <w:t>M16 — Сътрудничество (член 35)</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12 950 000,00 (2A)</w:t>
            </w:r>
          </w:p>
          <w:p>
            <w:pPr>
              <w:jc w:val="right"/>
              <w:rPr>
                <w:b w:val="0"/>
                <w:sz w:val="16"/>
              </w:rPr>
            </w:pPr>
            <w:r>
              <w:rPr>
                <w:b w:val="0"/>
                <w:sz w:val="16"/>
              </w:rPr>
              <w:t>1 850 000,00 (3A)</w:t>
            </w:r>
          </w:p>
          <w:p>
            <w:pPr>
              <w:jc w:val="right"/>
              <w:rPr>
                <w:b w:val="0"/>
                <w:sz w:val="16"/>
              </w:rPr>
            </w:pPr>
            <w:r>
              <w:rPr>
                <w:b w:val="0"/>
                <w:sz w:val="16"/>
              </w:rPr>
              <w:t>5 400 000,00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25 200 000,00</w:t>
            </w:r>
            <w:r>
              <w:rPr>
                <w:b w:val="0"/>
                <w:sz w:val="16"/>
              </w:rPr>
              <w:br/>
            </w:r>
            <w:r>
              <w:rPr>
                <w:b w:val="0"/>
                <w:sz w:val="16"/>
              </w:rPr>
              <w:t>0,00</w:t>
            </w:r>
            <w:r>
              <w:rPr>
                <w:b w:val="0"/>
                <w:sz w:val="16"/>
              </w:rPr>
              <w:br/>
            </w:r>
            <w:r>
              <w:rPr>
                <w:b w:val="0"/>
                <w:sz w:val="16"/>
              </w:rPr>
              <w:t>25 200 000,00</w:t>
            </w:r>
          </w:p>
        </w:tc>
      </w:tr>
    </w:tbl>
    <w:p>
      <w:pPr>
        <w:pStyle w:val="Heading3"/>
        <w:jc w:val="left"/>
        <w:rPr>
          <w:b w:val="0"/>
        </w:rPr>
      </w:pPr>
      <w:r>
        <w:rPr>
          <w:b/>
        </w:rPr>
        <w:br w:type="page"/>
      </w:r>
      <w:bookmarkStart w:id="160" w:name="_Toc256000160"/>
      <w:r>
        <w:rPr>
          <w:b w:val="0"/>
        </w:rPr>
        <w:t>M19 — Подкрепа за местно развитие по LEADER (ВОМР — водено от общностите местно развитие) (член 35 от Регламент (ЕС) № 1303/2013)</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152 173 496,00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2 500 000,00</w:t>
            </w:r>
            <w:r>
              <w:rPr>
                <w:b w:val="0"/>
                <w:sz w:val="16"/>
              </w:rPr>
              <w:br/>
            </w:r>
            <w:r>
              <w:rPr>
                <w:b w:val="0"/>
                <w:sz w:val="16"/>
              </w:rPr>
              <w:t>0,00</w:t>
            </w:r>
            <w:r>
              <w:rPr>
                <w:b w:val="0"/>
                <w:sz w:val="16"/>
              </w:rPr>
              <w:br/>
            </w: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152 273 496,00</w:t>
            </w:r>
            <w:r>
              <w:rPr>
                <w:b w:val="0"/>
                <w:sz w:val="16"/>
              </w:rPr>
              <w:br/>
            </w:r>
            <w:r>
              <w:rPr>
                <w:b w:val="0"/>
                <w:sz w:val="16"/>
              </w:rPr>
              <w:t>0,00</w:t>
            </w:r>
            <w:r>
              <w:rPr>
                <w:b w:val="0"/>
                <w:sz w:val="16"/>
              </w:rPr>
              <w:br/>
            </w:r>
            <w:r>
              <w:rPr>
                <w:b w:val="0"/>
                <w:sz w:val="16"/>
              </w:rPr>
              <w:t>152 273 496,00</w:t>
            </w:r>
          </w:p>
        </w:tc>
      </w:tr>
    </w:tbl>
    <w:p>
      <w:pPr>
        <w:pStyle w:val="Heading3"/>
        <w:jc w:val="left"/>
        <w:rPr>
          <w:b w:val="0"/>
        </w:rPr>
      </w:pPr>
      <w:r>
        <w:rPr>
          <w:b/>
        </w:rPr>
        <w:br w:type="page"/>
      </w:r>
      <w:bookmarkStart w:id="161" w:name="_Toc256000161"/>
      <w:r>
        <w:rPr>
          <w:b w:val="0"/>
        </w:rPr>
        <w:t>М20 — Техническа помощ държави членки (членове 51 — 54)</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47 156 074,00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47 156 074,00</w:t>
            </w:r>
            <w:r>
              <w:rPr>
                <w:b w:val="0"/>
                <w:sz w:val="16"/>
              </w:rPr>
              <w:br/>
            </w:r>
            <w:r>
              <w:rPr>
                <w:b w:val="0"/>
                <w:sz w:val="16"/>
              </w:rPr>
              <w:t>0,00</w:t>
            </w:r>
            <w:r>
              <w:rPr>
                <w:b w:val="0"/>
                <w:sz w:val="16"/>
              </w:rPr>
              <w:br/>
            </w:r>
            <w:r>
              <w:rPr>
                <w:b w:val="0"/>
                <w:sz w:val="16"/>
              </w:rPr>
              <w:t>47 156 074,00</w:t>
            </w:r>
          </w:p>
        </w:tc>
      </w:tr>
    </w:tbl>
    <w:p>
      <w:pPr>
        <w:pStyle w:val="Heading3"/>
        <w:jc w:val="left"/>
        <w:rPr>
          <w:b w:val="0"/>
        </w:rPr>
      </w:pPr>
      <w:r>
        <w:rPr>
          <w:b/>
        </w:rPr>
        <w:br w:type="page"/>
      </w:r>
      <w:bookmarkStart w:id="162" w:name="_Toc256000162"/>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37 792 655,00 (2A)</w:t>
            </w:r>
          </w:p>
          <w:p>
            <w:pPr>
              <w:jc w:val="right"/>
              <w:rPr>
                <w:b w:val="0"/>
                <w:sz w:val="16"/>
              </w:rPr>
            </w:pPr>
            <w:r>
              <w:rPr>
                <w:b w:val="0"/>
                <w:sz w:val="16"/>
              </w:rPr>
              <w:t>3 315 000,00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41 107 655,00</w:t>
            </w:r>
            <w:r>
              <w:rPr>
                <w:b w:val="0"/>
                <w:sz w:val="16"/>
              </w:rPr>
              <w:br/>
            </w:r>
            <w:r>
              <w:rPr>
                <w:b w:val="0"/>
                <w:sz w:val="16"/>
              </w:rPr>
              <w:t>0,00</w:t>
            </w:r>
            <w:r>
              <w:rPr>
                <w:b w:val="0"/>
                <w:sz w:val="16"/>
              </w:rPr>
              <w:br/>
            </w:r>
            <w:r>
              <w:rPr>
                <w:b w:val="0"/>
                <w:sz w:val="16"/>
              </w:rPr>
              <w:t>41 107 655,00</w:t>
            </w:r>
          </w:p>
        </w:tc>
      </w:tr>
    </w:tbl>
    <w:p>
      <w:pPr>
        <w:rPr>
          <w:b/>
        </w:rPr>
        <w:sectPr>
          <w:pgSz w:w="15840" w:h="12240" w:orient="landscape"/>
          <w:pgMar w:top="900" w:right="900" w:bottom="900" w:left="900" w:header="720" w:footer="720"/>
          <w:cols w:space="720"/>
        </w:sectPr>
      </w:pPr>
    </w:p>
    <w:p>
      <w:pPr>
        <w:pStyle w:val="Heading2"/>
      </w:pPr>
      <w:bookmarkStart w:id="163" w:name="_Toc256000163"/>
      <w:r>
        <w:t>Ориентировъчна разбивка по мярка за всяка подпрограма</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4" w:name="_Toc256000164"/>
      <w:r>
        <w:t>План на показателите</w:t>
      </w:r>
      <w:bookmarkEnd w:id="164"/>
    </w:p>
    <w:p>
      <w:pPr>
        <w:pStyle w:val="Heading2"/>
      </w:pPr>
      <w:bookmarkStart w:id="165" w:name="_Toc256000165"/>
      <w:r>
        <w:t>План на показателите</w:t>
      </w:r>
      <w:bookmarkEnd w:id="165"/>
    </w:p>
    <w:p>
      <w:pPr>
        <w:pStyle w:val="Heading3"/>
        <w:jc w:val="left"/>
        <w:rPr>
          <w:b w:val="0"/>
        </w:rPr>
      </w:pPr>
      <w:bookmarkStart w:id="166" w:name="_Toc256000166"/>
      <w:r>
        <w:rPr>
          <w:b w:val="0"/>
        </w:rPr>
        <w:t>P1: Стимулиране на трансфера на знания и иновациите в областта на селското и горското стопанство и селските райони</w:t>
      </w:r>
      <w:bookmarkEnd w:id="166"/>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2 895 255 368,00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22 999 999,40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4 800,00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7" w:name="_Toc25600016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7"/>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8 460,00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9 595 431,80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559 165 890,30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4 400,00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14 388 889,00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44 461 947,40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3 254 531,80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140 088 285,80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84 052 971,50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68" w:name="_Toc25600016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8"/>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903 715,30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782 052 716,60</w:t>
            </w:r>
          </w:p>
        </w:tc>
        <w:tc>
          <w:tcPr>
            <w:tcW w:w="750" w:type="pct"/>
            <w:shd w:val="clear" w:color="auto" w:fill="FFFFFF"/>
            <w:noWrap w:val="0"/>
            <w:tcMar>
              <w:top w:w="60" w:type="dxa"/>
            </w:tcMar>
            <w:vAlign w:val="center"/>
          </w:tcPr>
          <w:p>
            <w:pPr>
              <w:spacing w:before="20" w:after="20"/>
              <w:jc w:val="right"/>
              <w:rPr>
                <w:b w:val="0"/>
                <w:sz w:val="16"/>
              </w:rPr>
            </w:pPr>
            <w:r>
              <w:rPr>
                <w:b w:val="0"/>
                <w:sz w:val="16"/>
              </w:rPr>
              <w:t>145 233 722,00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391 194 274,90</w:t>
            </w:r>
          </w:p>
        </w:tc>
        <w:tc>
          <w:tcPr>
            <w:tcW w:w="750" w:type="pct"/>
            <w:shd w:val="clear" w:color="auto" w:fill="FFFFFF"/>
            <w:noWrap w:val="0"/>
            <w:tcMar>
              <w:top w:w="60" w:type="dxa"/>
            </w:tcMar>
            <w:vAlign w:val="center"/>
          </w:tcPr>
          <w:p>
            <w:pPr>
              <w:spacing w:before="20" w:after="20"/>
              <w:jc w:val="right"/>
              <w:rPr>
                <w:b w:val="0"/>
                <w:sz w:val="16"/>
              </w:rPr>
            </w:pPr>
            <w:r>
              <w:rPr>
                <w:b w:val="0"/>
                <w:sz w:val="16"/>
              </w:rPr>
              <w:t>72 616 861,00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9 316 502,00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24 802 124,70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469 715,30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27 489 337,00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P4: Възстановяване, опазване и укрепване на екосистемите, свързани със селското и горското стопанство</w:t>
      </w:r>
      <w:bookmarkEnd w:id="169"/>
    </w:p>
    <w:p>
      <w:pPr>
        <w:rPr>
          <w:b/>
          <w:i/>
        </w:rPr>
      </w:pPr>
      <w:r>
        <w:rPr>
          <w:b/>
          <w:i/>
        </w:rPr>
        <w:t>Селско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3 505 404,40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2 313 178,80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58 263 917,20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34 958 350,30</w:t>
            </w:r>
          </w:p>
        </w:tc>
        <w:tc>
          <w:tcPr>
            <w:tcW w:w="750" w:type="pct"/>
            <w:shd w:val="clear" w:color="auto" w:fill="FFFFFF"/>
            <w:noWrap w:val="0"/>
            <w:tcMar>
              <w:top w:w="60" w:type="dxa"/>
            </w:tcMar>
            <w:vAlign w:val="center"/>
          </w:tcPr>
          <w:p>
            <w:pPr>
              <w:spacing w:before="20" w:after="20"/>
              <w:jc w:val="right"/>
              <w:rPr>
                <w:b w:val="0"/>
                <w:sz w:val="16"/>
              </w:rPr>
            </w:pPr>
            <w:r>
              <w:rPr>
                <w:b w:val="0"/>
                <w:sz w:val="16"/>
              </w:rPr>
              <w:t>19 734 231,00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242 384 616,00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245 943 439,00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60 000,00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202 805 011,00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391 414 674,70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20 474 302,40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1 871 026,70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0" w:name="_Toc25600017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0"/>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348 412,90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419 024 651,40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419 024 651,40</w:t>
            </w:r>
          </w:p>
        </w:tc>
        <w:tc>
          <w:tcPr>
            <w:tcW w:w="750" w:type="pct"/>
            <w:shd w:val="clear" w:color="auto" w:fill="FFFFFF"/>
            <w:noWrap w:val="0"/>
            <w:tcMar>
              <w:top w:w="60" w:type="dxa"/>
            </w:tcMar>
            <w:vAlign w:val="center"/>
          </w:tcPr>
          <w:p>
            <w:pPr>
              <w:spacing w:before="20" w:after="20"/>
              <w:jc w:val="right"/>
              <w:rPr>
                <w:b w:val="0"/>
                <w:sz w:val="16"/>
              </w:rPr>
            </w:pPr>
            <w:r>
              <w:rPr>
                <w:b w:val="0"/>
                <w:sz w:val="16"/>
              </w:rPr>
              <w:t>73 971 538,00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233 605 405,00</w:t>
            </w:r>
          </w:p>
        </w:tc>
        <w:tc>
          <w:tcPr>
            <w:tcW w:w="750" w:type="pct"/>
            <w:shd w:val="clear" w:color="auto" w:fill="FFFFFF"/>
            <w:noWrap w:val="0"/>
            <w:tcMar>
              <w:top w:w="60" w:type="dxa"/>
            </w:tcMar>
            <w:vAlign w:val="center"/>
          </w:tcPr>
          <w:p>
            <w:pPr>
              <w:spacing w:before="20" w:after="20"/>
              <w:jc w:val="right"/>
              <w:rPr>
                <w:b w:val="0"/>
                <w:sz w:val="16"/>
              </w:rPr>
            </w:pPr>
            <w:r>
              <w:rPr>
                <w:b w:val="0"/>
                <w:sz w:val="16"/>
              </w:rPr>
              <w:t>36 985 769,00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154 266 117,00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84 266 116,90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42 829 679,00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3 694 595,00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2 177 766,10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1 306 660,00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230,00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1 631 112,00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P6: Насърчаване на социалното приобщаване, намаляването на бедността и икономическото развитие в селските райони</w:t>
      </w:r>
      <w:bookmarkEnd w:id="171"/>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630,00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159 053 722,40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79 526 861,20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3 899 999,90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611 125 322,40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8 023 392,00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120 714 739,10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6 500 000,00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34 118 041,30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19,00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98 373,00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2" w:name="_Toc256000172"/>
      <w:r>
        <w:t>Преглед на планираното изпълнение и на планираните разходи по мерки и по области с поставен акцент (генериран автоматично)</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1,050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21,870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9,595,431.8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3,254,531.8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903,715.3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469,715.3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2,313,178.8</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348,412.9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559,165,890.3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140,088,285.8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782,052,716.6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58,263,917.2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419,024,651.4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84,266,116.9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2,119,505,204.3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359,290,503.7</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84,052,971.5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391,194,274.9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34,958,350.3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233,605,405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42,829,679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1,221,703,704.4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27,589,337</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27,589,337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159,053,722.4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355,969,585.6</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79,526,861.2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276,442,724.4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611,125,322.4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723,125,322.4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20,474,302.4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20,474,302.4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18,500,000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242,384,616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282,384,616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245,943,439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245,943,439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204,676,037.7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204,676,037.7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391,414,674.7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391,414,674.7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14,388,889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2,055,555.6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28,000,000.1</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44,461,947.4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3,899,999.9</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48,361,947.3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bl>
    <w:p>
      <w:pPr>
        <w:sectPr>
          <w:pgSz w:w="15840" w:h="12240" w:orient="landscape"/>
          <w:pgMar w:top="900" w:right="46" w:bottom="900" w:left="46" w:header="720" w:footer="720"/>
          <w:cols w:space="720"/>
        </w:sectPr>
      </w:pPr>
    </w:p>
    <w:p>
      <w:pPr>
        <w:pStyle w:val="Heading2"/>
      </w:pPr>
      <w:bookmarkStart w:id="173" w:name="_Toc256000173"/>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4" w:name="_Toc256000174"/>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4"/>
    </w:p>
    <w:p>
      <w:pPr>
        <w:pStyle w:val="Heading3"/>
        <w:jc w:val="left"/>
        <w:rPr>
          <w:b w:val="0"/>
        </w:rPr>
      </w:pPr>
      <w:r>
        <w:rPr>
          <w:b w:val="0"/>
        </w:rPr>
        <w:t xml:space="preserve"> </w:t>
      </w:r>
      <w:bookmarkStart w:id="175" w:name="_Toc256000175"/>
      <w:r>
        <w:rPr>
          <w:b w:val="0"/>
        </w:rPr>
        <w:t>Земеделска земя</w:t>
      </w:r>
      <w:bookmarkEnd w:id="175"/>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61 669 093,30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61 867 213,30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140 634 901,00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105 308 537,70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187 805 010,60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1 631 112,00</w:t>
            </w:r>
          </w:p>
        </w:tc>
        <w:tc>
          <w:tcPr>
            <w:tcW w:w="750" w:type="pct"/>
            <w:shd w:val="clear" w:color="auto" w:fill="FFFFFF"/>
            <w:noWrap w:val="0"/>
            <w:tcMar>
              <w:top w:w="60" w:type="dxa"/>
            </w:tcMar>
            <w:vAlign w:val="top"/>
          </w:tcPr>
          <w:p>
            <w:pPr>
              <w:jc w:val="right"/>
              <w:rPr>
                <w:b w:val="0"/>
                <w:sz w:val="16"/>
              </w:rPr>
            </w:pPr>
            <w:r>
              <w:rPr>
                <w:b w:val="0"/>
                <w:sz w:val="16"/>
              </w:rPr>
              <w:t>230,00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6" w:name="_Toc256000176"/>
      <w:r>
        <w:rPr>
          <w:b w:val="0"/>
        </w:rPr>
        <w:t>Горски площи</w:t>
      </w:r>
      <w:bookmarkEnd w:id="176"/>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7" w:name="_Toc256000177"/>
      <w:r>
        <w:t>Специфични за програмата цел и изпълнение</w:t>
      </w:r>
      <w:bookmarkEnd w:id="177"/>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8" w:name="_Toc256000178"/>
      <w:r>
        <w:t>Допълнително национално финансиране</w:t>
      </w:r>
      <w:bookmarkEnd w:id="178"/>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9" w:name="_Toc256000179"/>
      <w:r>
        <w:rPr>
          <w:b/>
          <w:i w:val="0"/>
        </w:rPr>
        <w:t>М01 — Трансфер на знания и действия за осведомяване (член 14)</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0" w:name="_Toc256000180"/>
      <w:r>
        <w:rPr>
          <w:b/>
          <w:i w:val="0"/>
        </w:rPr>
        <w:t>М02 —  Консултантски услуги, услуги по управление на стопанство и услуги по заместване в стопанство (член 15)</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M04 — Инвестиции в материални активи (член 17)</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2"/>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3" w:name="_Toc256000183"/>
      <w:r>
        <w:rPr>
          <w:b/>
          <w:i w:val="0"/>
        </w:rPr>
        <w:t>M06 — Развитие на стопанства и предприятия (член 19)</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М07 — Основни услуги и обновяване на селата в селските райони (член 20)</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М08 — Инвестиции в развитие на горските райони и подобряване на жизнеспособността на горите (членове 21 — 26)</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M09 — Създаване на групи и организации на производителите (член 27)</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M10 — Агроекология и климат (член 28)</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М11 — Биологично земеделие (член 29)</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M12 — Плащания по „Натура 2000“ и Рамковата директива за водите (член 30)</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М13 — Плащания за райони, изправени пред природни или други специфични ограничения (член 31)</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M14 — Хуманно отношение към животните (член 33)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M16 — Сътрудничество (член 35)</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M19 — Подкрепа за местно развитие по LEADER (ВОМР — водено от общностите местно развитие) (член 35 от Регламент (ЕС) № 1303/2013)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М20 — Техническа помощ държави членки (членове 51 — 54)</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6" w:name="_Toc256000196"/>
      <w:r>
        <w:t>Елементи, необходими за оценка на държавната помощ</w:t>
      </w:r>
      <w:bookmarkEnd w:id="19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sz w:val="16"/>
              </w:rPr>
            </w:pPr>
            <w:r>
              <w:rPr>
                <w:b w:val="0"/>
                <w:sz w:val="16"/>
              </w:rPr>
              <w:t>10 000 000,00</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636 232 224,38</w:t>
            </w:r>
          </w:p>
        </w:tc>
        <w:tc>
          <w:tcPr>
            <w:tcW w:w="650" w:type="pct"/>
            <w:shd w:val="clear" w:color="auto" w:fill="C0C0C0"/>
            <w:noWrap w:val="0"/>
            <w:tcMar>
              <w:top w:w="60" w:type="dxa"/>
            </w:tcMar>
            <w:vAlign w:val="top"/>
          </w:tcPr>
          <w:p>
            <w:pPr>
              <w:jc w:val="right"/>
              <w:rPr>
                <w:b/>
                <w:sz w:val="16"/>
              </w:rPr>
            </w:pPr>
            <w:r>
              <w:rPr>
                <w:b/>
                <w:sz w:val="16"/>
              </w:rPr>
              <w:t>106 911 105,76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748 143 330,14</w:t>
            </w:r>
          </w:p>
        </w:tc>
      </w:tr>
    </w:tbl>
    <w:p>
      <w:pPr>
        <w:rPr>
          <w:b/>
        </w:rPr>
        <w:sectPr>
          <w:pgSz w:w="15840" w:h="12240" w:orient="landscape"/>
          <w:pgMar w:top="900" w:right="900" w:bottom="900" w:left="900" w:header="720" w:footer="720"/>
          <w:cols w:space="720"/>
        </w:sectPr>
      </w:pPr>
    </w:p>
    <w:p/>
    <w:p>
      <w:pPr>
        <w:pStyle w:val="Heading2"/>
      </w:pPr>
      <w:bookmarkStart w:id="197" w:name="_Toc256000197"/>
      <w:r>
        <w:t>М01 — Трансфер на знания и действия за осведомяване (член 14)</w:t>
      </w:r>
      <w:bookmarkEnd w:id="197"/>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8" w:name="_Toc256000198"/>
      <w:r>
        <w:t>М02 —  Консултантски услуги, услуги по управление на стопанство и услуги по заместване в стопанство (член 15)</w:t>
      </w:r>
      <w:bookmarkEnd w:id="198"/>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9" w:name="_Toc256000199"/>
      <w:r>
        <w:t>М02 —  Консултантски услуги, услуги по управление на стопанство и услуги по заместване в стопанство (член 15)</w:t>
      </w:r>
      <w:bookmarkEnd w:id="199"/>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0" w:name="_Toc256000200"/>
      <w:r>
        <w:t>M04 — Инвестиции в материални активи (член 17)</w:t>
      </w:r>
      <w:bookmarkEnd w:id="200"/>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1" w:name="_Toc256000201"/>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1"/>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2" w:name="_Toc256000202"/>
      <w:r>
        <w:t>M06 — Развитие на стопанства и предприятия (член 19)</w:t>
      </w:r>
      <w:bookmarkEnd w:id="20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М07 — Основни услуги и обновяване на селата в селските райони (член 20)</w:t>
      </w:r>
      <w:bookmarkEnd w:id="20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4" w:name="_Toc256000204"/>
      <w:r>
        <w:t>М07 — Основни услуги и обновяване на селата в селските райони (член 20)</w:t>
      </w:r>
      <w:bookmarkEnd w:id="20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5" w:name="_Toc256000205"/>
      <w:r>
        <w:t>М07 — Основни услуги и обновяване на селата в селските райони (член 20)</w:t>
      </w:r>
      <w:bookmarkEnd w:id="20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М08 — Инвестиции в развитие на горските райони и подобряване на жизнеспособността на горите (членове 21 — 26)</w:t>
      </w:r>
      <w:bookmarkEnd w:id="20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М08 — Инвестиции в развитие на горските райони и подобряване на жизнеспособността на горите (членове 21 — 26)</w:t>
      </w:r>
      <w:bookmarkEnd w:id="2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M09 — Създаване на групи и организации на производителите (член 27)</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M10 — Агроекология и климат (член 28)</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М11 — Биологично земеделие (член 29)</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M12 — Плащания по „Натура 2000“ и Рамковата директива за водите (член 30)</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М13 — Плащания за райони, изправени пред природни или други специфични ограничения (член 31)</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M14 — Хуманно отношение към животните (член 33)</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M16 — Сътрудничество (член 35)</w:t>
      </w:r>
      <w:bookmarkEnd w:id="21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M16 — Сътрудничество (член 35)</w:t>
      </w:r>
      <w:bookmarkEnd w:id="217"/>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M19 — Подкрепа за местно развитие по LEADER (ВОМР — водено от общностите местно развитие) (член 35 от Регламент (ЕС) № 1303/2013)</w:t>
      </w:r>
      <w:bookmarkEnd w:id="218"/>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19"/>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Pr>
        <w:sectPr>
          <w:pgMar w:top="900" w:right="900" w:bottom="900" w:left="900" w:header="720" w:footer="720"/>
          <w:cols w:space="720"/>
        </w:sectPr>
      </w:pPr>
    </w:p>
    <w:p>
      <w:pPr>
        <w:pStyle w:val="Heading1"/>
      </w:pPr>
      <w:bookmarkStart w:id="220" w:name="_Toc256000220"/>
      <w:r>
        <w:t>Информация относно взаимното допълване</w:t>
      </w:r>
      <w:bookmarkEnd w:id="220"/>
    </w:p>
    <w:p>
      <w:pPr>
        <w:pStyle w:val="Heading2"/>
      </w:pPr>
      <w:bookmarkStart w:id="221" w:name="_Toc256000221"/>
      <w:r>
        <w:t>Описание на средствата за осигуряване на допълняемост и съгласуваност със:</w:t>
      </w:r>
      <w:bookmarkEnd w:id="221"/>
      <w:r>
        <w:t xml:space="preserve"> </w:t>
      </w:r>
    </w:p>
    <w:p>
      <w:pPr>
        <w:pStyle w:val="Heading3"/>
        <w:jc w:val="left"/>
        <w:rPr>
          <w:b w:val="0"/>
        </w:rPr>
      </w:pPr>
      <w:bookmarkStart w:id="222" w:name="_Toc25600022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3" w:name="_Toc25600022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4" w:name="_Toc256000224"/>
      <w:r>
        <w:rPr>
          <w:b w:val="0"/>
        </w:rPr>
        <w:t>Когато е целесъобразно, информация за взаимното допълване с други финансови инструменти на Съюза, включително програма LIFE</w:t>
      </w:r>
      <w:bookmarkEnd w:id="2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5" w:name="_Toc256000225"/>
      <w:r>
        <w:t>Организация за изпълнението на програмата</w:t>
      </w:r>
      <w:bookmarkEnd w:id="225"/>
    </w:p>
    <w:p>
      <w:pPr>
        <w:pStyle w:val="Heading2"/>
      </w:pPr>
      <w:bookmarkStart w:id="226" w:name="_Toc25600022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6"/>
    </w:p>
    <w:p>
      <w:pPr>
        <w:pStyle w:val="Heading3"/>
        <w:jc w:val="left"/>
        <w:rPr>
          <w:b w:val="0"/>
        </w:rPr>
      </w:pPr>
      <w:bookmarkStart w:id="227" w:name="_Toc256000227"/>
      <w:r>
        <w:rPr>
          <w:b w:val="0"/>
        </w:rPr>
        <w:t>Органи</w:t>
      </w:r>
      <w:bookmarkEnd w:id="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8" w:name="_Toc256000228"/>
      <w:r>
        <w:rPr>
          <w:b w:val="0"/>
        </w:rPr>
        <w:t>Кратко описание на структурата за управление и контрол на програмата и на процедурите за независимо разглеждане на жалби</w:t>
      </w:r>
      <w:bookmarkEnd w:id="22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9" w:name="_Toc256000229"/>
      <w:r>
        <w:rPr>
          <w:b w:val="0"/>
        </w:rPr>
        <w:t>Предлаган състав на мониторинговия комитет</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0" w:name="_Toc25600023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1" w:name="_Toc25600023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2" w:name="_Toc25600023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3" w:name="_Toc25600023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7"/>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9"/>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4" w:name="_Toc256000234"/>
      <w:r>
        <w:t>Списък на действията за привличане на партньорите</w:t>
      </w:r>
      <w:bookmarkEnd w:id="234"/>
    </w:p>
    <w:p>
      <w:pPr>
        <w:pStyle w:val="Heading2"/>
      </w:pPr>
      <w:bookmarkStart w:id="235" w:name="_Toc256000235"/>
      <w:r>
        <w:t>16.1.1.Създаване на Тематична работна група (ТРГ) за разработване на ПРСР(2014-2020) с участие на партньорите</w:t>
      </w:r>
      <w:bookmarkEnd w:id="235"/>
    </w:p>
    <w:p>
      <w:pPr>
        <w:pStyle w:val="Heading3"/>
        <w:jc w:val="left"/>
        <w:rPr>
          <w:b w:val="0"/>
        </w:rPr>
      </w:pPr>
      <w:bookmarkStart w:id="236" w:name="_Toc256000236"/>
      <w:r>
        <w:rPr>
          <w:b w:val="0"/>
        </w:rPr>
        <w:t>Предмет на съответната консултация</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7" w:name="_Toc256000237"/>
      <w:r>
        <w:rPr>
          <w:b w:val="0"/>
        </w:rPr>
        <w:t>Обобщение на резултатите</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8" w:name="_Toc256000238"/>
      <w:r>
        <w:rPr>
          <w:b w:val="0"/>
        </w:rPr>
        <w:t>16.1.2. Провеждане на 7 заседания на ТРГ.</w:t>
      </w:r>
      <w:bookmarkEnd w:id="238"/>
    </w:p>
    <w:p>
      <w:pPr>
        <w:pStyle w:val="Heading3"/>
        <w:jc w:val="left"/>
        <w:rPr>
          <w:b w:val="0"/>
        </w:rPr>
      </w:pPr>
      <w:bookmarkStart w:id="239" w:name="_Toc256000239"/>
      <w:r>
        <w:rPr>
          <w:b w:val="0"/>
        </w:rPr>
        <w:t>Предмет на съответната консултация</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0" w:name="_Toc256000240"/>
      <w:r>
        <w:rPr>
          <w:b w:val="0"/>
        </w:rPr>
        <w:t>Обобщение на резултатите</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1" w:name="_Toc256000241"/>
      <w:r>
        <w:rPr>
          <w:b w:val="0"/>
        </w:rPr>
        <w:t>16.1.3. Сформиране на фокус групи</w:t>
      </w:r>
      <w:bookmarkEnd w:id="241"/>
    </w:p>
    <w:p>
      <w:pPr>
        <w:pStyle w:val="Heading3"/>
        <w:jc w:val="left"/>
        <w:rPr>
          <w:b w:val="0"/>
        </w:rPr>
      </w:pPr>
      <w:bookmarkStart w:id="242" w:name="_Toc256000242"/>
      <w:r>
        <w:rPr>
          <w:b w:val="0"/>
        </w:rPr>
        <w:t>Предмет на съответната консултация</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3" w:name="_Toc256000243"/>
      <w:r>
        <w:rPr>
          <w:b w:val="0"/>
        </w:rPr>
        <w:t>Обобщение на резултатите</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4" w:name="_Toc256000244"/>
      <w:r>
        <w:rPr>
          <w:b w:val="0"/>
        </w:rPr>
        <w:t>16.1.4.Привличане на партньори със съвещателен глас</w:t>
      </w:r>
      <w:bookmarkEnd w:id="244"/>
    </w:p>
    <w:p>
      <w:pPr>
        <w:pStyle w:val="Heading3"/>
        <w:jc w:val="left"/>
        <w:rPr>
          <w:b w:val="0"/>
        </w:rPr>
      </w:pPr>
      <w:bookmarkStart w:id="245" w:name="_Toc256000245"/>
      <w:r>
        <w:rPr>
          <w:b w:val="0"/>
        </w:rPr>
        <w:t>Предмет на съответната консултация</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6" w:name="_Toc256000246"/>
      <w:r>
        <w:rPr>
          <w:b w:val="0"/>
        </w:rPr>
        <w:t>Обобщение на резултатите</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7" w:name="_Toc256000247"/>
      <w:r>
        <w:rPr>
          <w:b w:val="0"/>
        </w:rPr>
        <w:t>16.1.5.Представяне на ПРСР на три заседания на КН</w:t>
      </w:r>
      <w:bookmarkEnd w:id="247"/>
    </w:p>
    <w:p>
      <w:pPr>
        <w:pStyle w:val="Heading3"/>
        <w:jc w:val="left"/>
        <w:rPr>
          <w:b w:val="0"/>
        </w:rPr>
      </w:pPr>
      <w:bookmarkStart w:id="248" w:name="_Toc256000248"/>
      <w:r>
        <w:rPr>
          <w:b w:val="0"/>
        </w:rPr>
        <w:t>Предмет на съответната консултация</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9" w:name="_Toc256000249"/>
      <w:r>
        <w:rPr>
          <w:b w:val="0"/>
        </w:rPr>
        <w:t>Обобщение на резултатите</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0" w:name="_Toc256000250"/>
      <w:r>
        <w:rPr>
          <w:b w:val="0"/>
        </w:rPr>
        <w:t>16.1.6.Достъп до информация, прозрачност</w:t>
      </w:r>
      <w:bookmarkEnd w:id="250"/>
    </w:p>
    <w:p>
      <w:pPr>
        <w:pStyle w:val="Heading3"/>
        <w:jc w:val="left"/>
        <w:rPr>
          <w:b w:val="0"/>
        </w:rPr>
      </w:pPr>
      <w:bookmarkStart w:id="251" w:name="_Toc256000251"/>
      <w:r>
        <w:rPr>
          <w:b w:val="0"/>
        </w:rPr>
        <w:t>Предмет на съответната консултация</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2" w:name="_Toc256000252"/>
      <w:r>
        <w:rPr>
          <w:b w:val="0"/>
        </w:rPr>
        <w:t>Обобщение на резултатите</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3" w:name="_Toc256000253"/>
      <w:r>
        <w:rPr>
          <w:b w:val="0"/>
        </w:rPr>
        <w:t>(Незадължително) разяснения или допълнителна информация за допълване на списъка с действия</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4" w:name="_Toc256000254"/>
      <w:r>
        <w:t>Национална мрежа за селските райони</w:t>
      </w:r>
      <w:bookmarkEnd w:id="254"/>
    </w:p>
    <w:p>
      <w:pPr>
        <w:pStyle w:val="Heading2"/>
      </w:pPr>
      <w:bookmarkStart w:id="255" w:name="_Toc256000255"/>
      <w:r>
        <w:t>Процедура и график за създаването на националната мрежа за селските райони („НМСР“)</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6" w:name="_Toc25600025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7" w:name="_Toc256000257"/>
      <w:r>
        <w:t>Обобщено описание на основните категории дейности на националната мрежа за селските райони в съответствие с целите на програмата</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8" w:name="_Toc256000258"/>
      <w:r>
        <w:t>Налични ресурси за създаването и привеждането в действие на националната мрежа за селските райони</w:t>
      </w:r>
      <w:bookmarkEnd w:id="2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9" w:name="_Toc256000259"/>
      <w:r>
        <w:t>Предварителна оценка на доказуемостта и на възможността за контрол, както и на риска от грешки</w:t>
      </w:r>
      <w:bookmarkEnd w:id="259"/>
    </w:p>
    <w:p>
      <w:pPr>
        <w:pStyle w:val="Heading2"/>
      </w:pPr>
      <w:bookmarkStart w:id="260" w:name="_Toc25600026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1" w:name="_Toc25600026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2" w:name="_Toc256000262"/>
      <w:r>
        <w:t>Преходни условия</w:t>
      </w:r>
      <w:bookmarkEnd w:id="262"/>
    </w:p>
    <w:p>
      <w:pPr>
        <w:pStyle w:val="Heading2"/>
      </w:pPr>
      <w:bookmarkStart w:id="263" w:name="_Toc256000263"/>
      <w:r>
        <w:t>Описание на преходните условия по мерки</w:t>
      </w:r>
      <w:bookmarkEnd w:id="2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4" w:name="_Toc256000264"/>
      <w:r>
        <w:t>Ориентировъчна таблица за пренос на средства</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5" w:name="_Toc256000265"/>
      <w:r>
        <w:t>Тематични подпрограми</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6" w:name="_Toc256000266"/>
      <w:r>
        <w:rPr>
          <w:b w:val="0"/>
          <w:i w:val="0"/>
        </w:rPr>
        <w:t>Документи</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08-03-2022</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Ares(2022)4409047</w:t>
            </w:r>
          </w:p>
        </w:tc>
        <w:tc>
          <w:tcPr>
            <w:tcW w:w="2000" w:type="pct"/>
            <w:shd w:val="clear" w:color="auto" w:fill="FFFFFF"/>
            <w:noWrap w:val="0"/>
            <w:tcMar>
              <w:top w:w="60" w:type="dxa"/>
            </w:tcMar>
            <w:vAlign w:val="top"/>
          </w:tcPr>
          <w:p>
            <w:pPr>
              <w:jc w:val="left"/>
              <w:rPr>
                <w:b w:val="0"/>
                <w:i w:val="0"/>
                <w:sz w:val="16"/>
              </w:rPr>
            </w:pPr>
            <w:r>
              <w:rPr>
                <w:b w:val="0"/>
                <w:i w:val="0"/>
                <w:sz w:val="16"/>
              </w:rPr>
              <w:t>1692169016</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15-06-2022</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Ares(2022)4409047</w:t>
            </w:r>
          </w:p>
        </w:tc>
        <w:tc>
          <w:tcPr>
            <w:tcW w:w="2000" w:type="pct"/>
            <w:shd w:val="clear" w:color="auto" w:fill="FFFFFF"/>
            <w:noWrap w:val="0"/>
            <w:tcMar>
              <w:top w:w="60" w:type="dxa"/>
            </w:tcMar>
            <w:vAlign w:val="top"/>
          </w:tcPr>
          <w:p>
            <w:pPr>
              <w:jc w:val="left"/>
              <w:rPr>
                <w:b w:val="0"/>
                <w:i w:val="0"/>
                <w:sz w:val="16"/>
              </w:rPr>
            </w:pPr>
            <w:r>
              <w:rPr>
                <w:b w:val="0"/>
                <w:i w:val="0"/>
                <w:sz w:val="16"/>
              </w:rPr>
              <w:t>1391513895</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Приложение към Раздел 3_Таблица с препоръките от предварителната оценка</w:t>
            </w:r>
          </w:p>
        </w:tc>
        <w:tc>
          <w:tcPr>
            <w:tcW w:w="2000" w:type="pct"/>
            <w:shd w:val="clear" w:color="auto" w:fill="FFFFFF"/>
            <w:noWrap w:val="0"/>
            <w:tcMar>
              <w:top w:w="60" w:type="dxa"/>
            </w:tcMar>
            <w:vAlign w:val="top"/>
          </w:tcPr>
          <w:p>
            <w:pPr>
              <w:jc w:val="left"/>
              <w:rPr>
                <w:b w:val="0"/>
                <w:i w:val="0"/>
                <w:sz w:val="16"/>
              </w:rPr>
            </w:pPr>
            <w:r>
              <w:rPr>
                <w:b w:val="0"/>
                <w:i w:val="0"/>
                <w:sz w:val="16"/>
              </w:rPr>
              <w:t>15-06-2022</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04-03-2021</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Ares(2022)4409047</w:t>
            </w:r>
          </w:p>
        </w:tc>
        <w:tc>
          <w:tcPr>
            <w:tcW w:w="2000" w:type="pct"/>
            <w:shd w:val="clear" w:color="auto" w:fill="FFFFFF"/>
            <w:noWrap w:val="0"/>
            <w:tcMar>
              <w:top w:w="60" w:type="dxa"/>
            </w:tcMar>
            <w:vAlign w:val="top"/>
          </w:tcPr>
          <w:p>
            <w:pPr>
              <w:jc w:val="left"/>
              <w:rPr>
                <w:b w:val="0"/>
                <w:i w:val="0"/>
                <w:sz w:val="16"/>
              </w:rPr>
            </w:pPr>
            <w:r>
              <w:rPr>
                <w:b w:val="0"/>
                <w:i w:val="0"/>
                <w:sz w:val="16"/>
              </w:rPr>
              <w:t>678493849</w:t>
            </w:r>
          </w:p>
        </w:tc>
        <w:tc>
          <w:tcPr>
            <w:tcW w:w="2000" w:type="pct"/>
            <w:shd w:val="clear" w:color="auto" w:fill="FFFFFF"/>
            <w:noWrap w:val="0"/>
            <w:tcMar>
              <w:top w:w="60" w:type="dxa"/>
            </w:tcMar>
            <w:vAlign w:val="top"/>
          </w:tcPr>
          <w:p>
            <w:pPr>
              <w:jc w:val="left"/>
              <w:rPr>
                <w:b w:val="0"/>
                <w:i w:val="0"/>
                <w:sz w:val="16"/>
              </w:rPr>
            </w:pPr>
            <w:r>
              <w:rPr>
                <w:b w:val="0"/>
                <w:i w:val="0"/>
                <w:sz w:val="16"/>
              </w:rPr>
              <w:t xml:space="preserve">Tematichna podprograma za malki stopanstva </w:t>
            </w:r>
          </w:p>
          <w:p>
            <w:pPr>
              <w:jc w:val="left"/>
              <w:rPr>
                <w:b w:val="0"/>
                <w:i w:val="0"/>
                <w:sz w:val="16"/>
              </w:rPr>
            </w:pPr>
            <w:r>
              <w:rPr>
                <w:b w:val="0"/>
                <w:i w:val="0"/>
                <w:sz w:val="16"/>
              </w:rPr>
              <w:t>Tematichna podprograma za malki stopanstva  finansovi sredstva</w:t>
            </w:r>
          </w:p>
        </w:tc>
        <w:tc>
          <w:tcPr>
            <w:tcW w:w="2000" w:type="pct"/>
            <w:shd w:val="clear" w:color="auto" w:fill="FFFFFF"/>
            <w:noWrap w:val="0"/>
            <w:tcMar>
              <w:top w:w="60" w:type="dxa"/>
            </w:tcMar>
            <w:vAlign w:val="top"/>
          </w:tcPr>
          <w:p>
            <w:pPr>
              <w:jc w:val="left"/>
              <w:rPr>
                <w:b w:val="0"/>
                <w:i w:val="0"/>
                <w:sz w:val="16"/>
              </w:rPr>
            </w:pPr>
            <w:r>
              <w:rPr>
                <w:b w:val="0"/>
                <w:i w:val="0"/>
                <w:sz w:val="16"/>
              </w:rPr>
              <w:t>15-06-2022</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1DC76A58-E896-4C3F-AE12-8F6DC6DFAA6A}"/>
    <w:embedBold r:id="rId2" w:fontKey="{5C62A31F-61CC-4FDC-A15B-CB149B705CBE}"/>
    <w:embedItalic r:id="rId3" w:fontKey="{5DD4A71D-310D-4E7E-B6DE-1C478832C47F}"/>
    <w:embedBoldItalic r:id="rId4" w:fontKey="{272AA894-0776-4D4E-B6DF-192A244B9939}"/>
  </w:font>
  <w:font w:name="Symbol">
    <w:panose1 w:val="05050102010706020507"/>
    <w:charset w:val="02"/>
    <w:family w:val="roman"/>
    <w:pitch w:val="variable"/>
    <w:sig w:usb0="00000000" w:usb1="10000000" w:usb2="00000000" w:usb3="00000000" w:csb0="80000000" w:csb1="00000000"/>
    <w:embedRegular r:id="rId5" w:fontKey="{660834A8-B725-4FBA-A5FF-C2770D9D3540}"/>
  </w:font>
  <w:font w:name="Arial">
    <w:panose1 w:val="020B0604020202020204"/>
    <w:charset w:val="00"/>
    <w:family w:val="swiss"/>
    <w:pitch w:val="variable"/>
    <w:sig w:usb0="E0002AFF" w:usb1="C0007843" w:usb2="00000009" w:usb3="00000000" w:csb0="000001FF" w:csb1="00000000"/>
    <w:embedRegular r:id="rId6" w:fontKey="{E109A0DB-0339-4046-BD0B-5577CEB93522}"/>
    <w:embedBold r:id="rId7" w:fontKey="{C722FC06-9116-41F1-B5C1-131B0E5DDC92}"/>
    <w:embedItalic r:id="rId8" w:fontKey="{3D650EFB-90ED-413D-BC8B-A5FF11B81ED9}"/>
  </w:font>
  <w:font w:name="Calibri">
    <w:panose1 w:val="020F0502020204030204"/>
    <w:charset w:val="00"/>
    <w:family w:val="swiss"/>
    <w:pitch w:val="variable"/>
    <w:sig w:usb0="E10002FF" w:usb1="4000ACFF" w:usb2="00000009" w:usb3="00000000" w:csb0="0000019F" w:csb1="00000000"/>
    <w:embedRegular r:id="rId9" w:fontKey="{5C44F402-5103-454B-86D1-B9F9D0B64D4A}"/>
  </w:font>
  <w:font w:name="Tahoma">
    <w:panose1 w:val="020B0604030504040204"/>
    <w:charset w:val="00"/>
    <w:family w:val="swiss"/>
    <w:pitch w:val="variable"/>
    <w:sig w:usb0="E1002EFF" w:usb1="C000605B" w:usb2="00000029" w:usb3="00000000" w:csb0="000101FF" w:csb1="00000000"/>
    <w:embedRegular r:id="rId10" w:fontKey="{65773B17-2EBC-42B1-9BFF-1BAD02D13EBA}"/>
  </w:font>
  <w:font w:name="Courier New">
    <w:panose1 w:val="02070309020205020404"/>
    <w:charset w:val="00"/>
    <w:family w:val="modern"/>
    <w:pitch w:val="fixed"/>
    <w:sig w:usb0="E0002AFF" w:usb1="C0007843" w:usb2="00000009" w:usb3="00000000" w:csb0="000001FF" w:csb1="00000000"/>
    <w:embedRegular r:id="rId11" w:fontKey="{252DDD1E-9126-4788-8B5E-72B10F527150}"/>
  </w:font>
  <w:font w:name="Wingdings">
    <w:charset w:val="00"/>
    <w:family w:val="auto"/>
    <w:pitch w:val="default"/>
    <w:sig w:usb0="00000000" w:usb1="00000000" w:usb2="00000000" w:usb3="00000000" w:csb0="00000001" w:csb1="00000000"/>
    <w:embedRegular r:id="rId12" w:fontKey="{71428744-F321-4AF6-8EB4-649153AE9D5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891</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multilevel"/>
    <w:tmpl w:val="722304D8"/>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722304D9"/>
    <w:multiLevelType w:val="multilevel"/>
    <w:tmpl w:val="722304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multilevel"/>
    <w:tmpl w:val="722305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multilevel"/>
    <w:tmpl w:val="722305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multilevel"/>
    <w:tmpl w:val="722305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multilevel"/>
    <w:tmpl w:val="722305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nsid w:val="7223057B"/>
    <w:multiLevelType w:val="hybridMultilevel"/>
    <w:tmpl w:val="722305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multilevel"/>
    <w:tmpl w:val="7223057E"/>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multilevel"/>
    <w:tmpl w:val="722305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nsid w:val="72230586"/>
    <w:multiLevelType w:val="hybridMultilevel"/>
    <w:tmpl w:val="722305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multilevel"/>
    <w:tmpl w:val="722305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multilevel"/>
    <w:tmpl w:val="722305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multilevel"/>
    <w:tmpl w:val="722305A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multilevel"/>
    <w:tmpl w:val="722305C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multilevel"/>
    <w:tmpl w:val="722305D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multilevel"/>
    <w:tmpl w:val="722305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multilevel"/>
    <w:tmpl w:val="722305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multilevel"/>
    <w:tmpl w:val="722306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multilevel"/>
    <w:tmpl w:val="722306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3">
    <w:nsid w:val="72230654"/>
    <w:multiLevelType w:val="multilevel"/>
    <w:tmpl w:val="722306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multilevel"/>
    <w:tmpl w:val="722306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multilevel"/>
    <w:tmpl w:val="722306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multilevel"/>
    <w:tmpl w:val="722306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multilevel"/>
    <w:tmpl w:val="722306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multilevel"/>
    <w:tmpl w:val="7223069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multilevel"/>
    <w:tmpl w:val="722306A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multilevel"/>
    <w:tmpl w:val="722306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multilevel"/>
    <w:tmpl w:val="722306CB"/>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3">
    <w:nsid w:val="722306CC"/>
    <w:multiLevelType w:val="multilevel"/>
    <w:tmpl w:val="722306CC"/>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multilevel"/>
    <w:tmpl w:val="722306CD"/>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multilevel"/>
    <w:tmpl w:val="722306D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multilevel"/>
    <w:tmpl w:val="722306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9">
    <w:nsid w:val="722306E6"/>
    <w:multiLevelType w:val="multilevel"/>
    <w:tmpl w:val="722306E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0">
    <w:nsid w:val="722306E7"/>
    <w:multiLevelType w:val="multilevel"/>
    <w:tmpl w:val="722306E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1">
    <w:nsid w:val="722306E8"/>
    <w:multiLevelType w:val="multilevel"/>
    <w:tmpl w:val="722306E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multilevel"/>
    <w:tmpl w:val="722306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multilevel"/>
    <w:tmpl w:val="722306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891</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